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19" w:rsidRDefault="002D2719" w:rsidP="00F7610A">
      <w:pPr>
        <w:rPr>
          <w:b/>
          <w:color w:val="4B4B4D"/>
          <w:sz w:val="24"/>
        </w:rPr>
      </w:pPr>
    </w:p>
    <w:p w:rsidR="00F7610A" w:rsidRPr="002D2719" w:rsidRDefault="009C27E0" w:rsidP="002D2719">
      <w:pPr>
        <w:jc w:val="center"/>
        <w:rPr>
          <w:b/>
          <w:color w:val="4B4B4D"/>
          <w:sz w:val="28"/>
        </w:rPr>
      </w:pPr>
      <w:r>
        <w:rPr>
          <w:b/>
          <w:color w:val="4B4B4D"/>
          <w:sz w:val="28"/>
        </w:rPr>
        <w:t>Economic Incentives Template for Operating Environment Analysis</w:t>
      </w:r>
      <w:r w:rsidR="00A56C36">
        <w:rPr>
          <w:b/>
          <w:color w:val="4B4B4D"/>
          <w:sz w:val="28"/>
        </w:rPr>
        <w:t xml:space="preserve"> – Template</w:t>
      </w:r>
      <w:bookmarkStart w:id="0" w:name="_GoBack"/>
      <w:bookmarkEnd w:id="0"/>
    </w:p>
    <w:tbl>
      <w:tblPr>
        <w:tblStyle w:val="TableGrid"/>
        <w:tblW w:w="0" w:type="auto"/>
        <w:tblLook w:val="04A0" w:firstRow="1" w:lastRow="0" w:firstColumn="1" w:lastColumn="0" w:noHBand="0" w:noVBand="1"/>
      </w:tblPr>
      <w:tblGrid>
        <w:gridCol w:w="9016"/>
      </w:tblGrid>
      <w:tr w:rsidR="00A759B6" w:rsidTr="00A759B6">
        <w:tc>
          <w:tcPr>
            <w:tcW w:w="9016" w:type="dxa"/>
          </w:tcPr>
          <w:p w:rsidR="00A759B6" w:rsidRPr="00A759B6" w:rsidRDefault="00A759B6" w:rsidP="00F7610A">
            <w:pPr>
              <w:rPr>
                <w:b/>
                <w:color w:val="4B4B4D"/>
                <w:sz w:val="24"/>
              </w:rPr>
            </w:pPr>
            <w:r w:rsidRPr="00A759B6">
              <w:rPr>
                <w:b/>
                <w:color w:val="4B4B4D"/>
                <w:sz w:val="24"/>
              </w:rPr>
              <w:t>1. Conduct a brainstorming session with 3-4 experts for each of the items listed on the form below, considering conditions specific to your organisation.</w:t>
            </w:r>
          </w:p>
        </w:tc>
      </w:tr>
    </w:tbl>
    <w:tbl>
      <w:tblPr>
        <w:tblpPr w:leftFromText="180" w:rightFromText="180" w:vertAnchor="text" w:horzAnchor="margin" w:tblpY="157"/>
        <w:tblW w:w="0" w:type="auto"/>
        <w:tblBorders>
          <w:top w:val="single" w:sz="4" w:space="0" w:color="4B4B4D"/>
          <w:left w:val="single" w:sz="4" w:space="0" w:color="4B4B4D"/>
          <w:bottom w:val="single" w:sz="4" w:space="0" w:color="4B4B4D"/>
          <w:right w:val="single" w:sz="4" w:space="0" w:color="4B4B4D"/>
          <w:insideH w:val="single" w:sz="4" w:space="0" w:color="4B4B4D"/>
          <w:insideV w:val="single" w:sz="4" w:space="0" w:color="4B4B4D"/>
        </w:tblBorders>
        <w:tblLook w:val="04A0" w:firstRow="1" w:lastRow="0" w:firstColumn="1" w:lastColumn="0" w:noHBand="0" w:noVBand="1"/>
      </w:tblPr>
      <w:tblGrid>
        <w:gridCol w:w="2693"/>
        <w:gridCol w:w="4312"/>
        <w:gridCol w:w="2011"/>
      </w:tblGrid>
      <w:tr w:rsidR="00A759B6" w:rsidRPr="00B35B9E" w:rsidTr="00A759B6">
        <w:trPr>
          <w:trHeight w:val="315"/>
        </w:trPr>
        <w:tc>
          <w:tcPr>
            <w:tcW w:w="0" w:type="auto"/>
            <w:shd w:val="clear" w:color="auto" w:fill="97BF0D"/>
            <w:noWrap/>
            <w:vAlign w:val="center"/>
            <w:hideMark/>
          </w:tcPr>
          <w:p w:rsidR="00A759B6" w:rsidRPr="00B35B9E" w:rsidRDefault="00A759B6" w:rsidP="00A759B6">
            <w:pPr>
              <w:spacing w:after="0" w:line="240" w:lineRule="auto"/>
              <w:jc w:val="center"/>
              <w:rPr>
                <w:rFonts w:ascii="Calibri" w:eastAsia="Times New Roman" w:hAnsi="Calibri" w:cs="Calibri"/>
                <w:b/>
                <w:bCs/>
                <w:color w:val="4B4B4D"/>
                <w:sz w:val="24"/>
                <w:szCs w:val="20"/>
                <w:lang w:val="en-GB" w:eastAsia="en-GB"/>
              </w:rPr>
            </w:pPr>
            <w:r w:rsidRPr="00B35B9E">
              <w:rPr>
                <w:rFonts w:ascii="Calibri" w:eastAsia="Times New Roman" w:hAnsi="Calibri" w:cs="Calibri"/>
                <w:b/>
                <w:bCs/>
                <w:color w:val="4B4B4D"/>
                <w:sz w:val="24"/>
                <w:szCs w:val="20"/>
                <w:lang w:val="en-GB" w:eastAsia="en-GB"/>
              </w:rPr>
              <w:t>Indicator</w:t>
            </w:r>
          </w:p>
        </w:tc>
        <w:tc>
          <w:tcPr>
            <w:tcW w:w="0" w:type="auto"/>
            <w:shd w:val="clear" w:color="auto" w:fill="97BF0D"/>
            <w:noWrap/>
            <w:vAlign w:val="center"/>
            <w:hideMark/>
          </w:tcPr>
          <w:p w:rsidR="00A759B6" w:rsidRPr="00B35B9E" w:rsidRDefault="00A759B6" w:rsidP="00A759B6">
            <w:pPr>
              <w:spacing w:after="0" w:line="240" w:lineRule="auto"/>
              <w:jc w:val="center"/>
              <w:rPr>
                <w:rFonts w:ascii="Calibri" w:eastAsia="Times New Roman" w:hAnsi="Calibri" w:cs="Calibri"/>
                <w:b/>
                <w:bCs/>
                <w:color w:val="4B4B4D"/>
                <w:sz w:val="24"/>
                <w:szCs w:val="20"/>
                <w:lang w:val="en-GB" w:eastAsia="en-GB"/>
              </w:rPr>
            </w:pPr>
            <w:r w:rsidRPr="00B35B9E">
              <w:rPr>
                <w:rFonts w:ascii="Calibri" w:eastAsia="Times New Roman" w:hAnsi="Calibri" w:cs="Calibri"/>
                <w:b/>
                <w:bCs/>
                <w:color w:val="4B4B4D"/>
                <w:sz w:val="24"/>
                <w:szCs w:val="20"/>
                <w:lang w:val="en-GB" w:eastAsia="en-GB"/>
              </w:rPr>
              <w:t>Explanation</w:t>
            </w:r>
          </w:p>
        </w:tc>
        <w:tc>
          <w:tcPr>
            <w:tcW w:w="0" w:type="auto"/>
            <w:shd w:val="clear" w:color="auto" w:fill="97BF0D"/>
            <w:noWrap/>
            <w:vAlign w:val="center"/>
            <w:hideMark/>
          </w:tcPr>
          <w:p w:rsidR="00A759B6" w:rsidRPr="00B35B9E" w:rsidRDefault="00A759B6" w:rsidP="00A759B6">
            <w:pPr>
              <w:spacing w:after="0" w:line="240" w:lineRule="auto"/>
              <w:jc w:val="center"/>
              <w:rPr>
                <w:rFonts w:ascii="Calibri" w:eastAsia="Times New Roman" w:hAnsi="Calibri" w:cs="Calibri"/>
                <w:b/>
                <w:bCs/>
                <w:color w:val="4B4B4D"/>
                <w:sz w:val="24"/>
                <w:szCs w:val="20"/>
                <w:lang w:val="en-GB" w:eastAsia="en-GB"/>
              </w:rPr>
            </w:pPr>
            <w:r w:rsidRPr="00B35B9E">
              <w:rPr>
                <w:rFonts w:ascii="Calibri" w:eastAsia="Times New Roman" w:hAnsi="Calibri" w:cs="Calibri"/>
                <w:b/>
                <w:bCs/>
                <w:color w:val="4B4B4D"/>
                <w:sz w:val="24"/>
                <w:szCs w:val="20"/>
                <w:lang w:val="en-GB" w:eastAsia="en-GB"/>
              </w:rPr>
              <w:t>Own Assessment</w:t>
            </w:r>
          </w:p>
        </w:tc>
      </w:tr>
      <w:tr w:rsidR="00A759B6" w:rsidRPr="00B35B9E" w:rsidTr="00A759B6">
        <w:trPr>
          <w:trHeight w:val="600"/>
        </w:trPr>
        <w:tc>
          <w:tcPr>
            <w:tcW w:w="0" w:type="auto"/>
            <w:shd w:val="clear" w:color="auto" w:fill="auto"/>
            <w:noWrap/>
            <w:vAlign w:val="center"/>
            <w:hideMark/>
          </w:tcPr>
          <w:p w:rsidR="00A759B6" w:rsidRPr="009C27E0" w:rsidRDefault="00A759B6" w:rsidP="00A759B6">
            <w:pPr>
              <w:spacing w:after="0" w:line="240" w:lineRule="auto"/>
              <w:rPr>
                <w:rFonts w:ascii="Calibri" w:eastAsia="Times New Roman" w:hAnsi="Calibri" w:cs="Calibri"/>
                <w:b/>
                <w:bCs/>
                <w:color w:val="4B4B4D"/>
                <w:sz w:val="20"/>
                <w:szCs w:val="20"/>
                <w:lang w:val="en-GB" w:eastAsia="en-GB"/>
              </w:rPr>
            </w:pPr>
            <w:r w:rsidRPr="009C27E0">
              <w:rPr>
                <w:rFonts w:ascii="Calibri" w:eastAsia="Times New Roman" w:hAnsi="Calibri" w:cs="Calibri"/>
                <w:b/>
                <w:bCs/>
                <w:color w:val="4B4B4D"/>
                <w:sz w:val="20"/>
                <w:szCs w:val="20"/>
                <w:lang w:val="en-GB" w:eastAsia="en-GB"/>
              </w:rPr>
              <w:t>Threat of entry</w:t>
            </w:r>
          </w:p>
        </w:tc>
        <w:tc>
          <w:tcPr>
            <w:tcW w:w="0" w:type="auto"/>
            <w:shd w:val="clear" w:color="auto" w:fill="auto"/>
            <w:vAlign w:val="bottom"/>
            <w:hideMark/>
          </w:tcPr>
          <w:p w:rsidR="00A759B6" w:rsidRPr="009C27E0" w:rsidRDefault="00A759B6" w:rsidP="00A759B6">
            <w:pPr>
              <w:spacing w:after="0" w:line="240" w:lineRule="auto"/>
              <w:rPr>
                <w:rFonts w:ascii="Calibri" w:eastAsia="Times New Roman" w:hAnsi="Calibri" w:cs="Calibri"/>
                <w:color w:val="4B4B4D"/>
                <w:sz w:val="20"/>
                <w:szCs w:val="20"/>
                <w:lang w:val="en-GB" w:eastAsia="en-GB"/>
              </w:rPr>
            </w:pPr>
            <w:r w:rsidRPr="009C27E0">
              <w:rPr>
                <w:rFonts w:ascii="Calibri" w:eastAsia="Times New Roman" w:hAnsi="Calibri" w:cs="Calibri"/>
                <w:color w:val="4B4B4D"/>
                <w:sz w:val="20"/>
                <w:szCs w:val="20"/>
                <w:lang w:val="en-GB" w:eastAsia="en-GB"/>
              </w:rPr>
              <w:t xml:space="preserve">Key factors increasing the threat of entry are: profitability does not require economies of scale, the product is undifferentiated, brand names are not well-known, initial capital investment is low, consumer switching costs are low, accessing distribution channels is easy, location is not an issue, proprietary technology &amp; materials are not an issue, </w:t>
            </w:r>
            <w:r>
              <w:rPr>
                <w:rFonts w:ascii="Calibri" w:eastAsia="Times New Roman" w:hAnsi="Calibri" w:cs="Calibri"/>
                <w:color w:val="4B4B4D"/>
                <w:sz w:val="20"/>
                <w:szCs w:val="20"/>
                <w:lang w:val="en-GB" w:eastAsia="en-GB"/>
              </w:rPr>
              <w:t xml:space="preserve">and </w:t>
            </w:r>
            <w:r w:rsidRPr="009C27E0">
              <w:rPr>
                <w:rFonts w:ascii="Calibri" w:eastAsia="Times New Roman" w:hAnsi="Calibri" w:cs="Calibri"/>
                <w:color w:val="4B4B4D"/>
                <w:sz w:val="20"/>
                <w:szCs w:val="20"/>
                <w:lang w:val="en-GB" w:eastAsia="en-GB"/>
              </w:rPr>
              <w:t>expedited retaliation of existing firms is not an issue.</w:t>
            </w:r>
          </w:p>
        </w:tc>
        <w:tc>
          <w:tcPr>
            <w:tcW w:w="0" w:type="auto"/>
            <w:shd w:val="clear" w:color="auto" w:fill="auto"/>
            <w:hideMark/>
          </w:tcPr>
          <w:p w:rsidR="00A759B6" w:rsidRPr="009C27E0" w:rsidRDefault="00A759B6" w:rsidP="00A759B6">
            <w:pPr>
              <w:spacing w:after="0" w:line="240" w:lineRule="auto"/>
              <w:rPr>
                <w:rFonts w:ascii="Calibri" w:eastAsia="Times New Roman" w:hAnsi="Calibri" w:cs="Calibri"/>
                <w:color w:val="4B4B4D"/>
                <w:sz w:val="20"/>
                <w:szCs w:val="20"/>
                <w:lang w:val="en-GB" w:eastAsia="en-GB"/>
              </w:rPr>
            </w:pPr>
            <w:r w:rsidRPr="009C27E0">
              <w:rPr>
                <w:rFonts w:ascii="Calibri" w:eastAsia="Times New Roman" w:hAnsi="Calibri" w:cs="Calibri"/>
                <w:color w:val="4B4B4D"/>
                <w:sz w:val="20"/>
                <w:szCs w:val="20"/>
                <w:lang w:val="en-GB" w:eastAsia="en-GB"/>
              </w:rPr>
              <w:t> </w:t>
            </w:r>
            <w:sdt>
              <w:sdtPr>
                <w:rPr>
                  <w:rFonts w:ascii="Calibri" w:eastAsia="Times New Roman" w:hAnsi="Calibri" w:cs="Calibri"/>
                  <w:color w:val="4B4B4D"/>
                  <w:sz w:val="20"/>
                  <w:szCs w:val="20"/>
                  <w:lang w:val="en-GB" w:eastAsia="en-GB"/>
                </w:rPr>
                <w:id w:val="-1654515612"/>
                <w:placeholder>
                  <w:docPart w:val="DefaultPlaceholder_-1854013440"/>
                </w:placeholder>
                <w:showingPlcHdr/>
                <w:text/>
              </w:sdtPr>
              <w:sdtContent>
                <w:r w:rsidRPr="00520B61">
                  <w:rPr>
                    <w:rStyle w:val="PlaceholderText"/>
                  </w:rPr>
                  <w:t>Click or tap here to enter text.</w:t>
                </w:r>
              </w:sdtContent>
            </w:sdt>
          </w:p>
        </w:tc>
      </w:tr>
      <w:tr w:rsidR="00A759B6" w:rsidRPr="00B35B9E" w:rsidTr="00A759B6">
        <w:trPr>
          <w:trHeight w:val="900"/>
        </w:trPr>
        <w:tc>
          <w:tcPr>
            <w:tcW w:w="0" w:type="auto"/>
            <w:shd w:val="clear" w:color="auto" w:fill="auto"/>
            <w:noWrap/>
            <w:vAlign w:val="center"/>
            <w:hideMark/>
          </w:tcPr>
          <w:p w:rsidR="00A759B6" w:rsidRPr="009C27E0" w:rsidRDefault="00A759B6" w:rsidP="00A759B6">
            <w:pPr>
              <w:spacing w:after="0" w:line="240" w:lineRule="auto"/>
              <w:rPr>
                <w:rFonts w:ascii="Calibri" w:eastAsia="Times New Roman" w:hAnsi="Calibri" w:cs="Calibri"/>
                <w:b/>
                <w:bCs/>
                <w:color w:val="4B4B4D"/>
                <w:sz w:val="20"/>
                <w:szCs w:val="20"/>
                <w:lang w:val="en-GB" w:eastAsia="en-GB"/>
              </w:rPr>
            </w:pPr>
            <w:r w:rsidRPr="009C27E0">
              <w:rPr>
                <w:rFonts w:ascii="Calibri" w:eastAsia="Times New Roman" w:hAnsi="Calibri" w:cs="Calibri"/>
                <w:b/>
                <w:bCs/>
                <w:color w:val="4B4B4D"/>
                <w:sz w:val="20"/>
                <w:szCs w:val="20"/>
                <w:lang w:val="en-GB" w:eastAsia="en-GB"/>
              </w:rPr>
              <w:t>Substitutes</w:t>
            </w:r>
          </w:p>
        </w:tc>
        <w:tc>
          <w:tcPr>
            <w:tcW w:w="0" w:type="auto"/>
            <w:shd w:val="clear" w:color="auto" w:fill="auto"/>
            <w:vAlign w:val="bottom"/>
            <w:hideMark/>
          </w:tcPr>
          <w:p w:rsidR="00A759B6" w:rsidRPr="009C27E0" w:rsidRDefault="00A759B6" w:rsidP="00A759B6">
            <w:pPr>
              <w:spacing w:after="0" w:line="240" w:lineRule="auto"/>
              <w:rPr>
                <w:rFonts w:ascii="Calibri" w:eastAsia="Times New Roman" w:hAnsi="Calibri" w:cs="Calibri"/>
                <w:color w:val="4B4B4D"/>
                <w:sz w:val="20"/>
                <w:szCs w:val="20"/>
                <w:lang w:val="en-GB" w:eastAsia="en-GB"/>
              </w:rPr>
            </w:pPr>
            <w:r w:rsidRPr="009C27E0">
              <w:rPr>
                <w:rFonts w:ascii="Calibri" w:eastAsia="Times New Roman" w:hAnsi="Calibri" w:cs="Calibri"/>
                <w:color w:val="4B4B4D"/>
                <w:sz w:val="20"/>
                <w:szCs w:val="20"/>
                <w:lang w:val="en-GB" w:eastAsia="en-GB"/>
              </w:rPr>
              <w:t>Consumer switching costs are low</w:t>
            </w:r>
            <w:r>
              <w:rPr>
                <w:rFonts w:ascii="Calibri" w:eastAsia="Times New Roman" w:hAnsi="Calibri" w:cs="Calibri"/>
                <w:color w:val="4B4B4D"/>
                <w:sz w:val="20"/>
                <w:szCs w:val="20"/>
                <w:lang w:val="en-GB" w:eastAsia="en-GB"/>
              </w:rPr>
              <w:t xml:space="preserve"> when the </w:t>
            </w:r>
            <w:r w:rsidRPr="009C27E0">
              <w:rPr>
                <w:rFonts w:ascii="Calibri" w:eastAsia="Times New Roman" w:hAnsi="Calibri" w:cs="Calibri"/>
                <w:color w:val="4B4B4D"/>
                <w:sz w:val="20"/>
                <w:szCs w:val="20"/>
                <w:lang w:val="en-GB" w:eastAsia="en-GB"/>
              </w:rPr>
              <w:t xml:space="preserve">substitute product is cheaper than </w:t>
            </w:r>
            <w:r>
              <w:rPr>
                <w:rFonts w:ascii="Calibri" w:eastAsia="Times New Roman" w:hAnsi="Calibri" w:cs="Calibri"/>
                <w:color w:val="4B4B4D"/>
                <w:sz w:val="20"/>
                <w:szCs w:val="20"/>
                <w:lang w:val="en-GB" w:eastAsia="en-GB"/>
              </w:rPr>
              <w:t xml:space="preserve">the </w:t>
            </w:r>
            <w:r w:rsidRPr="009C27E0">
              <w:rPr>
                <w:rFonts w:ascii="Calibri" w:eastAsia="Times New Roman" w:hAnsi="Calibri" w:cs="Calibri"/>
                <w:color w:val="4B4B4D"/>
                <w:sz w:val="20"/>
                <w:szCs w:val="20"/>
                <w:lang w:val="en-GB" w:eastAsia="en-GB"/>
              </w:rPr>
              <w:t xml:space="preserve">industry product, substitute product quality is equal or superior to industry product quality, </w:t>
            </w:r>
            <w:r>
              <w:rPr>
                <w:rFonts w:ascii="Calibri" w:eastAsia="Times New Roman" w:hAnsi="Calibri" w:cs="Calibri"/>
                <w:color w:val="4B4B4D"/>
                <w:sz w:val="20"/>
                <w:szCs w:val="20"/>
                <w:lang w:val="en-GB" w:eastAsia="en-GB"/>
              </w:rPr>
              <w:t xml:space="preserve">and </w:t>
            </w:r>
            <w:r w:rsidRPr="009C27E0">
              <w:rPr>
                <w:rFonts w:ascii="Calibri" w:eastAsia="Times New Roman" w:hAnsi="Calibri" w:cs="Calibri"/>
                <w:color w:val="4B4B4D"/>
                <w:sz w:val="20"/>
                <w:szCs w:val="20"/>
                <w:lang w:val="en-GB" w:eastAsia="en-GB"/>
              </w:rPr>
              <w:t>substitute performance is equal or superior to industry product performance</w:t>
            </w:r>
            <w:r>
              <w:rPr>
                <w:rFonts w:ascii="Calibri" w:eastAsia="Times New Roman" w:hAnsi="Calibri" w:cs="Calibri"/>
                <w:color w:val="4B4B4D"/>
                <w:sz w:val="20"/>
                <w:szCs w:val="20"/>
                <w:lang w:val="en-GB" w:eastAsia="en-GB"/>
              </w:rPr>
              <w:t>.</w:t>
            </w:r>
          </w:p>
        </w:tc>
        <w:tc>
          <w:tcPr>
            <w:tcW w:w="0" w:type="auto"/>
            <w:shd w:val="clear" w:color="auto" w:fill="auto"/>
            <w:hideMark/>
          </w:tcPr>
          <w:p w:rsidR="00A759B6" w:rsidRPr="009C27E0" w:rsidRDefault="00A759B6" w:rsidP="00A759B6">
            <w:pPr>
              <w:spacing w:after="0" w:line="240" w:lineRule="auto"/>
              <w:rPr>
                <w:rFonts w:ascii="Calibri" w:eastAsia="Times New Roman" w:hAnsi="Calibri" w:cs="Calibri"/>
                <w:color w:val="4B4B4D"/>
                <w:sz w:val="20"/>
                <w:szCs w:val="20"/>
                <w:lang w:val="en-GB" w:eastAsia="en-GB"/>
              </w:rPr>
            </w:pPr>
            <w:r w:rsidRPr="009C27E0">
              <w:rPr>
                <w:rFonts w:ascii="Calibri" w:eastAsia="Times New Roman" w:hAnsi="Calibri" w:cs="Calibri"/>
                <w:color w:val="4B4B4D"/>
                <w:sz w:val="20"/>
                <w:szCs w:val="20"/>
                <w:lang w:val="en-GB" w:eastAsia="en-GB"/>
              </w:rPr>
              <w:t> </w:t>
            </w:r>
            <w:sdt>
              <w:sdtPr>
                <w:rPr>
                  <w:rFonts w:ascii="Calibri" w:eastAsia="Times New Roman" w:hAnsi="Calibri" w:cs="Calibri"/>
                  <w:color w:val="4B4B4D"/>
                  <w:sz w:val="20"/>
                  <w:szCs w:val="20"/>
                  <w:lang w:val="en-GB" w:eastAsia="en-GB"/>
                </w:rPr>
                <w:id w:val="402732067"/>
                <w:placeholder>
                  <w:docPart w:val="DefaultPlaceholder_-1854013440"/>
                </w:placeholder>
                <w:showingPlcHdr/>
                <w:text/>
              </w:sdtPr>
              <w:sdtContent>
                <w:r w:rsidRPr="00520B61">
                  <w:rPr>
                    <w:rStyle w:val="PlaceholderText"/>
                  </w:rPr>
                  <w:t>Click or tap here to enter text.</w:t>
                </w:r>
              </w:sdtContent>
            </w:sdt>
          </w:p>
        </w:tc>
      </w:tr>
      <w:tr w:rsidR="00A759B6" w:rsidRPr="00B35B9E" w:rsidTr="00A759B6">
        <w:trPr>
          <w:trHeight w:val="1200"/>
        </w:trPr>
        <w:tc>
          <w:tcPr>
            <w:tcW w:w="0" w:type="auto"/>
            <w:shd w:val="clear" w:color="auto" w:fill="auto"/>
            <w:noWrap/>
            <w:vAlign w:val="center"/>
            <w:hideMark/>
          </w:tcPr>
          <w:p w:rsidR="00A759B6" w:rsidRPr="009C27E0" w:rsidRDefault="00A759B6" w:rsidP="00A759B6">
            <w:pPr>
              <w:spacing w:after="0" w:line="240" w:lineRule="auto"/>
              <w:rPr>
                <w:rFonts w:ascii="Calibri" w:eastAsia="Times New Roman" w:hAnsi="Calibri" w:cs="Calibri"/>
                <w:b/>
                <w:bCs/>
                <w:color w:val="4B4B4D"/>
                <w:sz w:val="20"/>
                <w:szCs w:val="20"/>
                <w:lang w:val="en-GB" w:eastAsia="en-GB"/>
              </w:rPr>
            </w:pPr>
            <w:r w:rsidRPr="009C27E0">
              <w:rPr>
                <w:rFonts w:ascii="Calibri" w:eastAsia="Times New Roman" w:hAnsi="Calibri" w:cs="Calibri"/>
                <w:b/>
                <w:bCs/>
                <w:color w:val="4B4B4D"/>
                <w:sz w:val="20"/>
                <w:szCs w:val="20"/>
                <w:lang w:val="en-GB" w:eastAsia="en-GB"/>
              </w:rPr>
              <w:t>Bargaining power of buyers</w:t>
            </w:r>
          </w:p>
        </w:tc>
        <w:tc>
          <w:tcPr>
            <w:tcW w:w="0" w:type="auto"/>
            <w:shd w:val="clear" w:color="auto" w:fill="auto"/>
            <w:vAlign w:val="bottom"/>
            <w:hideMark/>
          </w:tcPr>
          <w:p w:rsidR="00A759B6" w:rsidRPr="009C27E0" w:rsidRDefault="00A759B6" w:rsidP="00A759B6">
            <w:pPr>
              <w:spacing w:after="0" w:line="240" w:lineRule="auto"/>
              <w:rPr>
                <w:rFonts w:ascii="Calibri" w:eastAsia="Times New Roman" w:hAnsi="Calibri" w:cs="Calibri"/>
                <w:color w:val="4B4B4D"/>
                <w:sz w:val="20"/>
                <w:szCs w:val="20"/>
                <w:lang w:val="en-GB" w:eastAsia="en-GB"/>
              </w:rPr>
            </w:pPr>
            <w:r>
              <w:rPr>
                <w:rFonts w:ascii="Calibri" w:eastAsia="Times New Roman" w:hAnsi="Calibri" w:cs="Calibri"/>
                <w:color w:val="4B4B4D"/>
                <w:sz w:val="20"/>
                <w:szCs w:val="20"/>
                <w:lang w:val="en-GB" w:eastAsia="en-GB"/>
              </w:rPr>
              <w:t>Bargaining power increases</w:t>
            </w:r>
            <w:r w:rsidRPr="009C27E0">
              <w:rPr>
                <w:rFonts w:ascii="Calibri" w:eastAsia="Times New Roman" w:hAnsi="Calibri" w:cs="Calibri"/>
                <w:color w:val="4B4B4D"/>
                <w:sz w:val="20"/>
                <w:szCs w:val="20"/>
                <w:lang w:val="en-GB" w:eastAsia="en-GB"/>
              </w:rPr>
              <w:t xml:space="preserve"> if buyers are more concentrated than sellers, buyer switching costs are low, threat of backward integration is high, buyer is price sensitive, buyer is well-educated regarding the product, buyer purchases product in high volume, buyer purchases comprise large portion of seller sales, product is undifferentiated, and if substitutes are available</w:t>
            </w:r>
            <w:r>
              <w:rPr>
                <w:rFonts w:ascii="Calibri" w:eastAsia="Times New Roman" w:hAnsi="Calibri" w:cs="Calibri"/>
                <w:color w:val="4B4B4D"/>
                <w:sz w:val="20"/>
                <w:szCs w:val="20"/>
                <w:lang w:val="en-GB" w:eastAsia="en-GB"/>
              </w:rPr>
              <w:t>.</w:t>
            </w:r>
          </w:p>
        </w:tc>
        <w:tc>
          <w:tcPr>
            <w:tcW w:w="0" w:type="auto"/>
            <w:shd w:val="clear" w:color="auto" w:fill="auto"/>
            <w:hideMark/>
          </w:tcPr>
          <w:p w:rsidR="00A759B6" w:rsidRPr="009C27E0" w:rsidRDefault="00A759B6" w:rsidP="00A759B6">
            <w:pPr>
              <w:spacing w:after="0" w:line="240" w:lineRule="auto"/>
              <w:rPr>
                <w:rFonts w:ascii="Calibri" w:eastAsia="Times New Roman" w:hAnsi="Calibri" w:cs="Calibri"/>
                <w:color w:val="4B4B4D"/>
                <w:sz w:val="20"/>
                <w:szCs w:val="20"/>
                <w:lang w:val="en-GB" w:eastAsia="en-GB"/>
              </w:rPr>
            </w:pPr>
            <w:r w:rsidRPr="009C27E0">
              <w:rPr>
                <w:rFonts w:ascii="Calibri" w:eastAsia="Times New Roman" w:hAnsi="Calibri" w:cs="Calibri"/>
                <w:color w:val="4B4B4D"/>
                <w:sz w:val="20"/>
                <w:szCs w:val="20"/>
                <w:lang w:val="en-GB" w:eastAsia="en-GB"/>
              </w:rPr>
              <w:t> </w:t>
            </w:r>
            <w:sdt>
              <w:sdtPr>
                <w:rPr>
                  <w:rFonts w:ascii="Calibri" w:eastAsia="Times New Roman" w:hAnsi="Calibri" w:cs="Calibri"/>
                  <w:color w:val="4B4B4D"/>
                  <w:sz w:val="20"/>
                  <w:szCs w:val="20"/>
                  <w:lang w:val="en-GB" w:eastAsia="en-GB"/>
                </w:rPr>
                <w:id w:val="2116940057"/>
                <w:placeholder>
                  <w:docPart w:val="DefaultPlaceholder_-1854013440"/>
                </w:placeholder>
                <w:showingPlcHdr/>
                <w:text/>
              </w:sdtPr>
              <w:sdtContent>
                <w:r w:rsidRPr="00520B61">
                  <w:rPr>
                    <w:rStyle w:val="PlaceholderText"/>
                  </w:rPr>
                  <w:t>Click or tap here to enter text.</w:t>
                </w:r>
              </w:sdtContent>
            </w:sdt>
          </w:p>
        </w:tc>
      </w:tr>
      <w:tr w:rsidR="00A759B6" w:rsidRPr="00B35B9E" w:rsidTr="00A759B6">
        <w:trPr>
          <w:trHeight w:val="600"/>
        </w:trPr>
        <w:tc>
          <w:tcPr>
            <w:tcW w:w="0" w:type="auto"/>
            <w:shd w:val="clear" w:color="auto" w:fill="auto"/>
            <w:noWrap/>
            <w:vAlign w:val="center"/>
            <w:hideMark/>
          </w:tcPr>
          <w:p w:rsidR="00A759B6" w:rsidRPr="009C27E0" w:rsidRDefault="00A759B6" w:rsidP="00A759B6">
            <w:pPr>
              <w:spacing w:after="0" w:line="240" w:lineRule="auto"/>
              <w:rPr>
                <w:rFonts w:ascii="Calibri" w:eastAsia="Times New Roman" w:hAnsi="Calibri" w:cs="Calibri"/>
                <w:b/>
                <w:bCs/>
                <w:color w:val="4B4B4D"/>
                <w:sz w:val="20"/>
                <w:szCs w:val="20"/>
                <w:lang w:val="en-GB" w:eastAsia="en-GB"/>
              </w:rPr>
            </w:pPr>
            <w:r w:rsidRPr="009C27E0">
              <w:rPr>
                <w:rFonts w:ascii="Calibri" w:eastAsia="Times New Roman" w:hAnsi="Calibri" w:cs="Calibri"/>
                <w:b/>
                <w:bCs/>
                <w:color w:val="4B4B4D"/>
                <w:sz w:val="20"/>
                <w:szCs w:val="20"/>
                <w:lang w:val="en-GB" w:eastAsia="en-GB"/>
              </w:rPr>
              <w:t>Bargaining power of suppliers</w:t>
            </w:r>
          </w:p>
        </w:tc>
        <w:tc>
          <w:tcPr>
            <w:tcW w:w="0" w:type="auto"/>
            <w:shd w:val="clear" w:color="auto" w:fill="auto"/>
            <w:vAlign w:val="bottom"/>
            <w:hideMark/>
          </w:tcPr>
          <w:p w:rsidR="00A759B6" w:rsidRPr="009C27E0" w:rsidRDefault="00A759B6" w:rsidP="00A759B6">
            <w:pPr>
              <w:spacing w:after="0" w:line="240" w:lineRule="auto"/>
              <w:rPr>
                <w:rFonts w:ascii="Calibri" w:eastAsia="Times New Roman" w:hAnsi="Calibri" w:cs="Calibri"/>
                <w:color w:val="4B4B4D"/>
                <w:sz w:val="20"/>
                <w:szCs w:val="20"/>
                <w:lang w:val="en-GB" w:eastAsia="en-GB"/>
              </w:rPr>
            </w:pPr>
            <w:r w:rsidRPr="009C27E0">
              <w:rPr>
                <w:rFonts w:ascii="Calibri" w:eastAsia="Times New Roman" w:hAnsi="Calibri" w:cs="Calibri"/>
                <w:color w:val="4B4B4D"/>
                <w:sz w:val="20"/>
                <w:szCs w:val="20"/>
                <w:lang w:val="en-GB" w:eastAsia="en-GB"/>
              </w:rPr>
              <w:t>Bargaining power of suppliers is high if suppliers are more concentrated than buyers, buyer switching costs are high, suppliers can easily integrate forward (i.e. start producing the buyer’s product themselves), the buyer is uneducated regarding the product, the supplier’s product is highly differentiated, the buyer does not represent a large portion of the supplier’s sales, and if substitute products are unavailable</w:t>
            </w:r>
            <w:r>
              <w:rPr>
                <w:rFonts w:ascii="Calibri" w:eastAsia="Times New Roman" w:hAnsi="Calibri" w:cs="Calibri"/>
                <w:color w:val="4B4B4D"/>
                <w:sz w:val="20"/>
                <w:szCs w:val="20"/>
                <w:lang w:val="en-GB" w:eastAsia="en-GB"/>
              </w:rPr>
              <w:t>.</w:t>
            </w:r>
          </w:p>
        </w:tc>
        <w:tc>
          <w:tcPr>
            <w:tcW w:w="0" w:type="auto"/>
            <w:shd w:val="clear" w:color="auto" w:fill="auto"/>
            <w:hideMark/>
          </w:tcPr>
          <w:p w:rsidR="00A759B6" w:rsidRPr="009C27E0" w:rsidRDefault="00A759B6" w:rsidP="00A759B6">
            <w:pPr>
              <w:spacing w:after="0" w:line="240" w:lineRule="auto"/>
              <w:rPr>
                <w:rFonts w:ascii="Calibri" w:eastAsia="Times New Roman" w:hAnsi="Calibri" w:cs="Calibri"/>
                <w:color w:val="4B4B4D"/>
                <w:sz w:val="20"/>
                <w:szCs w:val="20"/>
                <w:lang w:val="en-GB" w:eastAsia="en-GB"/>
              </w:rPr>
            </w:pPr>
            <w:r w:rsidRPr="009C27E0">
              <w:rPr>
                <w:rFonts w:ascii="Calibri" w:eastAsia="Times New Roman" w:hAnsi="Calibri" w:cs="Calibri"/>
                <w:color w:val="4B4B4D"/>
                <w:sz w:val="20"/>
                <w:szCs w:val="20"/>
                <w:lang w:val="en-GB" w:eastAsia="en-GB"/>
              </w:rPr>
              <w:t> </w:t>
            </w:r>
            <w:sdt>
              <w:sdtPr>
                <w:rPr>
                  <w:rFonts w:ascii="Calibri" w:eastAsia="Times New Roman" w:hAnsi="Calibri" w:cs="Calibri"/>
                  <w:color w:val="4B4B4D"/>
                  <w:sz w:val="20"/>
                  <w:szCs w:val="20"/>
                  <w:lang w:val="en-GB" w:eastAsia="en-GB"/>
                </w:rPr>
                <w:id w:val="-921721543"/>
                <w:placeholder>
                  <w:docPart w:val="DefaultPlaceholder_-1854013440"/>
                </w:placeholder>
                <w:showingPlcHdr/>
                <w:text/>
              </w:sdtPr>
              <w:sdtContent>
                <w:r w:rsidRPr="00520B61">
                  <w:rPr>
                    <w:rStyle w:val="PlaceholderText"/>
                  </w:rPr>
                  <w:t>Click or tap here to enter text.</w:t>
                </w:r>
              </w:sdtContent>
            </w:sdt>
          </w:p>
        </w:tc>
      </w:tr>
    </w:tbl>
    <w:p w:rsidR="00A759B6" w:rsidRDefault="00A759B6" w:rsidP="00A759B6"/>
    <w:tbl>
      <w:tblPr>
        <w:tblStyle w:val="TableGrid"/>
        <w:tblW w:w="9016" w:type="dxa"/>
        <w:tblLook w:val="04A0" w:firstRow="1" w:lastRow="0" w:firstColumn="1" w:lastColumn="0" w:noHBand="0" w:noVBand="1"/>
      </w:tblPr>
      <w:tblGrid>
        <w:gridCol w:w="9016"/>
      </w:tblGrid>
      <w:tr w:rsidR="00A759B6" w:rsidTr="00A759B6">
        <w:tc>
          <w:tcPr>
            <w:tcW w:w="9016" w:type="dxa"/>
          </w:tcPr>
          <w:p w:rsidR="00A759B6" w:rsidRPr="00A759B6" w:rsidRDefault="00A759B6" w:rsidP="00A759B6">
            <w:pPr>
              <w:rPr>
                <w:b/>
                <w:color w:val="4B4B4D"/>
                <w:sz w:val="24"/>
              </w:rPr>
            </w:pPr>
            <w:r>
              <w:rPr>
                <w:b/>
                <w:color w:val="4B4B4D"/>
                <w:sz w:val="24"/>
              </w:rPr>
              <w:t>2</w:t>
            </w:r>
            <w:r w:rsidRPr="00A759B6">
              <w:rPr>
                <w:b/>
                <w:color w:val="4B4B4D"/>
                <w:sz w:val="24"/>
              </w:rPr>
              <w:t xml:space="preserve">. </w:t>
            </w:r>
            <w:r>
              <w:rPr>
                <w:b/>
                <w:color w:val="4B4B4D"/>
                <w:sz w:val="24"/>
              </w:rPr>
              <w:t>Use results of this assessment to inform internal presentations or for integration into a business plan.</w:t>
            </w:r>
          </w:p>
        </w:tc>
      </w:tr>
    </w:tbl>
    <w:p w:rsidR="000F62DD" w:rsidRDefault="000F62DD" w:rsidP="00A759B6">
      <w:pPr>
        <w:rPr>
          <w:color w:val="919395"/>
        </w:rPr>
      </w:pPr>
    </w:p>
    <w:sectPr w:rsidR="000F62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43B" w:rsidRDefault="0097243B" w:rsidP="00BF769B">
      <w:pPr>
        <w:spacing w:after="0" w:line="240" w:lineRule="auto"/>
      </w:pPr>
      <w:r>
        <w:separator/>
      </w:r>
    </w:p>
  </w:endnote>
  <w:endnote w:type="continuationSeparator" w:id="0">
    <w:p w:rsidR="0097243B" w:rsidRDefault="0097243B" w:rsidP="00BF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9B" w:rsidRDefault="00BF769B">
    <w:pPr>
      <w:pStyle w:val="Footer"/>
    </w:pPr>
    <w:r w:rsidRPr="00BF769B">
      <w:rPr>
        <w:noProof/>
        <w:color w:val="4B4B4D"/>
        <w:lang w:val="en-GB" w:eastAsia="en-GB"/>
      </w:rPr>
      <w:drawing>
        <wp:anchor distT="0" distB="0" distL="114300" distR="114300" simplePos="0" relativeHeight="251660288" behindDoc="0" locked="0" layoutInCell="1" allowOverlap="1" wp14:anchorId="53137037" wp14:editId="2BC4E09F">
          <wp:simplePos x="0" y="0"/>
          <wp:positionH relativeFrom="column">
            <wp:posOffset>0</wp:posOffset>
          </wp:positionH>
          <wp:positionV relativeFrom="paragraph">
            <wp:posOffset>167640</wp:posOffset>
          </wp:positionV>
          <wp:extent cx="5731510" cy="154940"/>
          <wp:effectExtent l="0" t="0" r="0" b="0"/>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54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43B" w:rsidRDefault="0097243B" w:rsidP="00BF769B">
      <w:pPr>
        <w:spacing w:after="0" w:line="240" w:lineRule="auto"/>
      </w:pPr>
      <w:r>
        <w:separator/>
      </w:r>
    </w:p>
  </w:footnote>
  <w:footnote w:type="continuationSeparator" w:id="0">
    <w:p w:rsidR="0097243B" w:rsidRDefault="0097243B" w:rsidP="00BF7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9B" w:rsidRDefault="002D2719" w:rsidP="00BA4AD1">
    <w:pPr>
      <w:pStyle w:val="Header"/>
      <w:jc w:val="center"/>
    </w:pPr>
    <w:r w:rsidRPr="00577DD2">
      <w:rPr>
        <w:noProof/>
        <w:lang w:val="en-GB" w:eastAsia="en-GB"/>
      </w:rPr>
      <w:drawing>
        <wp:anchor distT="0" distB="0" distL="114300" distR="114300" simplePos="0" relativeHeight="251661312" behindDoc="0" locked="0" layoutInCell="1" allowOverlap="1" wp14:anchorId="13399DBE" wp14:editId="65A00258">
          <wp:simplePos x="0" y="0"/>
          <wp:positionH relativeFrom="column">
            <wp:posOffset>1543301</wp:posOffset>
          </wp:positionH>
          <wp:positionV relativeFrom="paragraph">
            <wp:posOffset>-250825</wp:posOffset>
          </wp:positionV>
          <wp:extent cx="1178245" cy="682493"/>
          <wp:effectExtent l="0" t="0" r="3175" b="3810"/>
          <wp:wrapSquare wrapText="bothSides"/>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BEBA8EAE-BF5A-486C-A8C5-ECC9F3942E4B}">
                        <a14:imgProps xmlns:a14="http://schemas.microsoft.com/office/drawing/2010/main">
                          <a14:imgLayer r:embed="rId2">
                            <a14:imgEffect>
                              <a14:saturation sat="81000"/>
                            </a14:imgEffect>
                          </a14:imgLayer>
                        </a14:imgProps>
                      </a:ext>
                      <a:ext uri="{28A0092B-C50C-407E-A947-70E740481C1C}">
                        <a14:useLocalDpi xmlns:a14="http://schemas.microsoft.com/office/drawing/2010/main" val="0"/>
                      </a:ext>
                    </a:extLst>
                  </a:blip>
                  <a:stretch>
                    <a:fillRect/>
                  </a:stretch>
                </pic:blipFill>
                <pic:spPr>
                  <a:xfrm>
                    <a:off x="0" y="0"/>
                    <a:ext cx="1178245" cy="682493"/>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editId="27F9770B">
          <wp:simplePos x="0" y="0"/>
          <wp:positionH relativeFrom="column">
            <wp:posOffset>2785745</wp:posOffset>
          </wp:positionH>
          <wp:positionV relativeFrom="paragraph">
            <wp:posOffset>-250825</wp:posOffset>
          </wp:positionV>
          <wp:extent cx="1684655" cy="67246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kon logo screen_main 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4655" cy="67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1AE9"/>
    <w:multiLevelType w:val="hybridMultilevel"/>
    <w:tmpl w:val="05A60502"/>
    <w:lvl w:ilvl="0" w:tplc="6DA0F81C">
      <w:start w:val="1"/>
      <w:numFmt w:val="bullet"/>
      <w:lvlText w:val=""/>
      <w:lvlJc w:val="left"/>
      <w:pPr>
        <w:tabs>
          <w:tab w:val="num" w:pos="720"/>
        </w:tabs>
        <w:ind w:left="720" w:hanging="360"/>
      </w:pPr>
      <w:rPr>
        <w:rFonts w:ascii="Wingdings" w:hAnsi="Wingdings" w:hint="default"/>
      </w:rPr>
    </w:lvl>
    <w:lvl w:ilvl="1" w:tplc="12EADF68" w:tentative="1">
      <w:start w:val="1"/>
      <w:numFmt w:val="bullet"/>
      <w:lvlText w:val=""/>
      <w:lvlJc w:val="left"/>
      <w:pPr>
        <w:tabs>
          <w:tab w:val="num" w:pos="1440"/>
        </w:tabs>
        <w:ind w:left="1440" w:hanging="360"/>
      </w:pPr>
      <w:rPr>
        <w:rFonts w:ascii="Wingdings" w:hAnsi="Wingdings" w:hint="default"/>
      </w:rPr>
    </w:lvl>
    <w:lvl w:ilvl="2" w:tplc="40C89384" w:tentative="1">
      <w:start w:val="1"/>
      <w:numFmt w:val="bullet"/>
      <w:lvlText w:val=""/>
      <w:lvlJc w:val="left"/>
      <w:pPr>
        <w:tabs>
          <w:tab w:val="num" w:pos="2160"/>
        </w:tabs>
        <w:ind w:left="2160" w:hanging="360"/>
      </w:pPr>
      <w:rPr>
        <w:rFonts w:ascii="Wingdings" w:hAnsi="Wingdings" w:hint="default"/>
      </w:rPr>
    </w:lvl>
    <w:lvl w:ilvl="3" w:tplc="BB6A701A" w:tentative="1">
      <w:start w:val="1"/>
      <w:numFmt w:val="bullet"/>
      <w:lvlText w:val=""/>
      <w:lvlJc w:val="left"/>
      <w:pPr>
        <w:tabs>
          <w:tab w:val="num" w:pos="2880"/>
        </w:tabs>
        <w:ind w:left="2880" w:hanging="360"/>
      </w:pPr>
      <w:rPr>
        <w:rFonts w:ascii="Wingdings" w:hAnsi="Wingdings" w:hint="default"/>
      </w:rPr>
    </w:lvl>
    <w:lvl w:ilvl="4" w:tplc="2A4AB8BA" w:tentative="1">
      <w:start w:val="1"/>
      <w:numFmt w:val="bullet"/>
      <w:lvlText w:val=""/>
      <w:lvlJc w:val="left"/>
      <w:pPr>
        <w:tabs>
          <w:tab w:val="num" w:pos="3600"/>
        </w:tabs>
        <w:ind w:left="3600" w:hanging="360"/>
      </w:pPr>
      <w:rPr>
        <w:rFonts w:ascii="Wingdings" w:hAnsi="Wingdings" w:hint="default"/>
      </w:rPr>
    </w:lvl>
    <w:lvl w:ilvl="5" w:tplc="595816F4" w:tentative="1">
      <w:start w:val="1"/>
      <w:numFmt w:val="bullet"/>
      <w:lvlText w:val=""/>
      <w:lvlJc w:val="left"/>
      <w:pPr>
        <w:tabs>
          <w:tab w:val="num" w:pos="4320"/>
        </w:tabs>
        <w:ind w:left="4320" w:hanging="360"/>
      </w:pPr>
      <w:rPr>
        <w:rFonts w:ascii="Wingdings" w:hAnsi="Wingdings" w:hint="default"/>
      </w:rPr>
    </w:lvl>
    <w:lvl w:ilvl="6" w:tplc="EB5CB014" w:tentative="1">
      <w:start w:val="1"/>
      <w:numFmt w:val="bullet"/>
      <w:lvlText w:val=""/>
      <w:lvlJc w:val="left"/>
      <w:pPr>
        <w:tabs>
          <w:tab w:val="num" w:pos="5040"/>
        </w:tabs>
        <w:ind w:left="5040" w:hanging="360"/>
      </w:pPr>
      <w:rPr>
        <w:rFonts w:ascii="Wingdings" w:hAnsi="Wingdings" w:hint="default"/>
      </w:rPr>
    </w:lvl>
    <w:lvl w:ilvl="7" w:tplc="9CEA2D50" w:tentative="1">
      <w:start w:val="1"/>
      <w:numFmt w:val="bullet"/>
      <w:lvlText w:val=""/>
      <w:lvlJc w:val="left"/>
      <w:pPr>
        <w:tabs>
          <w:tab w:val="num" w:pos="5760"/>
        </w:tabs>
        <w:ind w:left="5760" w:hanging="360"/>
      </w:pPr>
      <w:rPr>
        <w:rFonts w:ascii="Wingdings" w:hAnsi="Wingdings" w:hint="default"/>
      </w:rPr>
    </w:lvl>
    <w:lvl w:ilvl="8" w:tplc="E25217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C6E6A"/>
    <w:multiLevelType w:val="hybridMultilevel"/>
    <w:tmpl w:val="3FECA7D2"/>
    <w:lvl w:ilvl="0" w:tplc="92C045AA">
      <w:start w:val="1"/>
      <w:numFmt w:val="bullet"/>
      <w:lvlText w:val=""/>
      <w:lvlJc w:val="left"/>
      <w:pPr>
        <w:tabs>
          <w:tab w:val="num" w:pos="720"/>
        </w:tabs>
        <w:ind w:left="720" w:hanging="360"/>
      </w:pPr>
      <w:rPr>
        <w:rFonts w:ascii="Wingdings" w:hAnsi="Wingdings" w:hint="default"/>
      </w:rPr>
    </w:lvl>
    <w:lvl w:ilvl="1" w:tplc="1102B9CE" w:tentative="1">
      <w:start w:val="1"/>
      <w:numFmt w:val="bullet"/>
      <w:lvlText w:val=""/>
      <w:lvlJc w:val="left"/>
      <w:pPr>
        <w:tabs>
          <w:tab w:val="num" w:pos="1440"/>
        </w:tabs>
        <w:ind w:left="1440" w:hanging="360"/>
      </w:pPr>
      <w:rPr>
        <w:rFonts w:ascii="Wingdings" w:hAnsi="Wingdings" w:hint="default"/>
      </w:rPr>
    </w:lvl>
    <w:lvl w:ilvl="2" w:tplc="ABEE643E" w:tentative="1">
      <w:start w:val="1"/>
      <w:numFmt w:val="bullet"/>
      <w:lvlText w:val=""/>
      <w:lvlJc w:val="left"/>
      <w:pPr>
        <w:tabs>
          <w:tab w:val="num" w:pos="2160"/>
        </w:tabs>
        <w:ind w:left="2160" w:hanging="360"/>
      </w:pPr>
      <w:rPr>
        <w:rFonts w:ascii="Wingdings" w:hAnsi="Wingdings" w:hint="default"/>
      </w:rPr>
    </w:lvl>
    <w:lvl w:ilvl="3" w:tplc="130C3A8C" w:tentative="1">
      <w:start w:val="1"/>
      <w:numFmt w:val="bullet"/>
      <w:lvlText w:val=""/>
      <w:lvlJc w:val="left"/>
      <w:pPr>
        <w:tabs>
          <w:tab w:val="num" w:pos="2880"/>
        </w:tabs>
        <w:ind w:left="2880" w:hanging="360"/>
      </w:pPr>
      <w:rPr>
        <w:rFonts w:ascii="Wingdings" w:hAnsi="Wingdings" w:hint="default"/>
      </w:rPr>
    </w:lvl>
    <w:lvl w:ilvl="4" w:tplc="6656844A" w:tentative="1">
      <w:start w:val="1"/>
      <w:numFmt w:val="bullet"/>
      <w:lvlText w:val=""/>
      <w:lvlJc w:val="left"/>
      <w:pPr>
        <w:tabs>
          <w:tab w:val="num" w:pos="3600"/>
        </w:tabs>
        <w:ind w:left="3600" w:hanging="360"/>
      </w:pPr>
      <w:rPr>
        <w:rFonts w:ascii="Wingdings" w:hAnsi="Wingdings" w:hint="default"/>
      </w:rPr>
    </w:lvl>
    <w:lvl w:ilvl="5" w:tplc="A7CA90A6" w:tentative="1">
      <w:start w:val="1"/>
      <w:numFmt w:val="bullet"/>
      <w:lvlText w:val=""/>
      <w:lvlJc w:val="left"/>
      <w:pPr>
        <w:tabs>
          <w:tab w:val="num" w:pos="4320"/>
        </w:tabs>
        <w:ind w:left="4320" w:hanging="360"/>
      </w:pPr>
      <w:rPr>
        <w:rFonts w:ascii="Wingdings" w:hAnsi="Wingdings" w:hint="default"/>
      </w:rPr>
    </w:lvl>
    <w:lvl w:ilvl="6" w:tplc="9E325836" w:tentative="1">
      <w:start w:val="1"/>
      <w:numFmt w:val="bullet"/>
      <w:lvlText w:val=""/>
      <w:lvlJc w:val="left"/>
      <w:pPr>
        <w:tabs>
          <w:tab w:val="num" w:pos="5040"/>
        </w:tabs>
        <w:ind w:left="5040" w:hanging="360"/>
      </w:pPr>
      <w:rPr>
        <w:rFonts w:ascii="Wingdings" w:hAnsi="Wingdings" w:hint="default"/>
      </w:rPr>
    </w:lvl>
    <w:lvl w:ilvl="7" w:tplc="6CFA3A74" w:tentative="1">
      <w:start w:val="1"/>
      <w:numFmt w:val="bullet"/>
      <w:lvlText w:val=""/>
      <w:lvlJc w:val="left"/>
      <w:pPr>
        <w:tabs>
          <w:tab w:val="num" w:pos="5760"/>
        </w:tabs>
        <w:ind w:left="5760" w:hanging="360"/>
      </w:pPr>
      <w:rPr>
        <w:rFonts w:ascii="Wingdings" w:hAnsi="Wingdings" w:hint="default"/>
      </w:rPr>
    </w:lvl>
    <w:lvl w:ilvl="8" w:tplc="F90AB8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07873"/>
    <w:multiLevelType w:val="hybridMultilevel"/>
    <w:tmpl w:val="502C3796"/>
    <w:lvl w:ilvl="0" w:tplc="FEE092BA">
      <w:start w:val="1"/>
      <w:numFmt w:val="bullet"/>
      <w:lvlText w:val=""/>
      <w:lvlJc w:val="left"/>
      <w:pPr>
        <w:tabs>
          <w:tab w:val="num" w:pos="720"/>
        </w:tabs>
        <w:ind w:left="720" w:hanging="360"/>
      </w:pPr>
      <w:rPr>
        <w:rFonts w:ascii="Wingdings" w:hAnsi="Wingdings" w:hint="default"/>
      </w:rPr>
    </w:lvl>
    <w:lvl w:ilvl="1" w:tplc="7660B726" w:tentative="1">
      <w:start w:val="1"/>
      <w:numFmt w:val="bullet"/>
      <w:lvlText w:val=""/>
      <w:lvlJc w:val="left"/>
      <w:pPr>
        <w:tabs>
          <w:tab w:val="num" w:pos="1440"/>
        </w:tabs>
        <w:ind w:left="1440" w:hanging="360"/>
      </w:pPr>
      <w:rPr>
        <w:rFonts w:ascii="Wingdings" w:hAnsi="Wingdings" w:hint="default"/>
      </w:rPr>
    </w:lvl>
    <w:lvl w:ilvl="2" w:tplc="C86A0408" w:tentative="1">
      <w:start w:val="1"/>
      <w:numFmt w:val="bullet"/>
      <w:lvlText w:val=""/>
      <w:lvlJc w:val="left"/>
      <w:pPr>
        <w:tabs>
          <w:tab w:val="num" w:pos="2160"/>
        </w:tabs>
        <w:ind w:left="2160" w:hanging="360"/>
      </w:pPr>
      <w:rPr>
        <w:rFonts w:ascii="Wingdings" w:hAnsi="Wingdings" w:hint="default"/>
      </w:rPr>
    </w:lvl>
    <w:lvl w:ilvl="3" w:tplc="EF565E56" w:tentative="1">
      <w:start w:val="1"/>
      <w:numFmt w:val="bullet"/>
      <w:lvlText w:val=""/>
      <w:lvlJc w:val="left"/>
      <w:pPr>
        <w:tabs>
          <w:tab w:val="num" w:pos="2880"/>
        </w:tabs>
        <w:ind w:left="2880" w:hanging="360"/>
      </w:pPr>
      <w:rPr>
        <w:rFonts w:ascii="Wingdings" w:hAnsi="Wingdings" w:hint="default"/>
      </w:rPr>
    </w:lvl>
    <w:lvl w:ilvl="4" w:tplc="6E681042" w:tentative="1">
      <w:start w:val="1"/>
      <w:numFmt w:val="bullet"/>
      <w:lvlText w:val=""/>
      <w:lvlJc w:val="left"/>
      <w:pPr>
        <w:tabs>
          <w:tab w:val="num" w:pos="3600"/>
        </w:tabs>
        <w:ind w:left="3600" w:hanging="360"/>
      </w:pPr>
      <w:rPr>
        <w:rFonts w:ascii="Wingdings" w:hAnsi="Wingdings" w:hint="default"/>
      </w:rPr>
    </w:lvl>
    <w:lvl w:ilvl="5" w:tplc="0CE86B0A" w:tentative="1">
      <w:start w:val="1"/>
      <w:numFmt w:val="bullet"/>
      <w:lvlText w:val=""/>
      <w:lvlJc w:val="left"/>
      <w:pPr>
        <w:tabs>
          <w:tab w:val="num" w:pos="4320"/>
        </w:tabs>
        <w:ind w:left="4320" w:hanging="360"/>
      </w:pPr>
      <w:rPr>
        <w:rFonts w:ascii="Wingdings" w:hAnsi="Wingdings" w:hint="default"/>
      </w:rPr>
    </w:lvl>
    <w:lvl w:ilvl="6" w:tplc="00FCFB42" w:tentative="1">
      <w:start w:val="1"/>
      <w:numFmt w:val="bullet"/>
      <w:lvlText w:val=""/>
      <w:lvlJc w:val="left"/>
      <w:pPr>
        <w:tabs>
          <w:tab w:val="num" w:pos="5040"/>
        </w:tabs>
        <w:ind w:left="5040" w:hanging="360"/>
      </w:pPr>
      <w:rPr>
        <w:rFonts w:ascii="Wingdings" w:hAnsi="Wingdings" w:hint="default"/>
      </w:rPr>
    </w:lvl>
    <w:lvl w:ilvl="7" w:tplc="CA605CBA" w:tentative="1">
      <w:start w:val="1"/>
      <w:numFmt w:val="bullet"/>
      <w:lvlText w:val=""/>
      <w:lvlJc w:val="left"/>
      <w:pPr>
        <w:tabs>
          <w:tab w:val="num" w:pos="5760"/>
        </w:tabs>
        <w:ind w:left="5760" w:hanging="360"/>
      </w:pPr>
      <w:rPr>
        <w:rFonts w:ascii="Wingdings" w:hAnsi="Wingdings" w:hint="default"/>
      </w:rPr>
    </w:lvl>
    <w:lvl w:ilvl="8" w:tplc="A702AA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55BF0"/>
    <w:multiLevelType w:val="hybridMultilevel"/>
    <w:tmpl w:val="AD8ECB4E"/>
    <w:lvl w:ilvl="0" w:tplc="FB8E1F42">
      <w:start w:val="1"/>
      <w:numFmt w:val="bullet"/>
      <w:lvlText w:val=""/>
      <w:lvlJc w:val="left"/>
      <w:pPr>
        <w:tabs>
          <w:tab w:val="num" w:pos="720"/>
        </w:tabs>
        <w:ind w:left="720" w:hanging="360"/>
      </w:pPr>
      <w:rPr>
        <w:rFonts w:ascii="Wingdings" w:hAnsi="Wingdings" w:hint="default"/>
      </w:rPr>
    </w:lvl>
    <w:lvl w:ilvl="1" w:tplc="97B21018" w:tentative="1">
      <w:start w:val="1"/>
      <w:numFmt w:val="bullet"/>
      <w:lvlText w:val=""/>
      <w:lvlJc w:val="left"/>
      <w:pPr>
        <w:tabs>
          <w:tab w:val="num" w:pos="1440"/>
        </w:tabs>
        <w:ind w:left="1440" w:hanging="360"/>
      </w:pPr>
      <w:rPr>
        <w:rFonts w:ascii="Wingdings" w:hAnsi="Wingdings" w:hint="default"/>
      </w:rPr>
    </w:lvl>
    <w:lvl w:ilvl="2" w:tplc="CE38EDB6" w:tentative="1">
      <w:start w:val="1"/>
      <w:numFmt w:val="bullet"/>
      <w:lvlText w:val=""/>
      <w:lvlJc w:val="left"/>
      <w:pPr>
        <w:tabs>
          <w:tab w:val="num" w:pos="2160"/>
        </w:tabs>
        <w:ind w:left="2160" w:hanging="360"/>
      </w:pPr>
      <w:rPr>
        <w:rFonts w:ascii="Wingdings" w:hAnsi="Wingdings" w:hint="default"/>
      </w:rPr>
    </w:lvl>
    <w:lvl w:ilvl="3" w:tplc="DCA8D70E" w:tentative="1">
      <w:start w:val="1"/>
      <w:numFmt w:val="bullet"/>
      <w:lvlText w:val=""/>
      <w:lvlJc w:val="left"/>
      <w:pPr>
        <w:tabs>
          <w:tab w:val="num" w:pos="2880"/>
        </w:tabs>
        <w:ind w:left="2880" w:hanging="360"/>
      </w:pPr>
      <w:rPr>
        <w:rFonts w:ascii="Wingdings" w:hAnsi="Wingdings" w:hint="default"/>
      </w:rPr>
    </w:lvl>
    <w:lvl w:ilvl="4" w:tplc="E16C73FC" w:tentative="1">
      <w:start w:val="1"/>
      <w:numFmt w:val="bullet"/>
      <w:lvlText w:val=""/>
      <w:lvlJc w:val="left"/>
      <w:pPr>
        <w:tabs>
          <w:tab w:val="num" w:pos="3600"/>
        </w:tabs>
        <w:ind w:left="3600" w:hanging="360"/>
      </w:pPr>
      <w:rPr>
        <w:rFonts w:ascii="Wingdings" w:hAnsi="Wingdings" w:hint="default"/>
      </w:rPr>
    </w:lvl>
    <w:lvl w:ilvl="5" w:tplc="17CAEBA2" w:tentative="1">
      <w:start w:val="1"/>
      <w:numFmt w:val="bullet"/>
      <w:lvlText w:val=""/>
      <w:lvlJc w:val="left"/>
      <w:pPr>
        <w:tabs>
          <w:tab w:val="num" w:pos="4320"/>
        </w:tabs>
        <w:ind w:left="4320" w:hanging="360"/>
      </w:pPr>
      <w:rPr>
        <w:rFonts w:ascii="Wingdings" w:hAnsi="Wingdings" w:hint="default"/>
      </w:rPr>
    </w:lvl>
    <w:lvl w:ilvl="6" w:tplc="6C94FD14" w:tentative="1">
      <w:start w:val="1"/>
      <w:numFmt w:val="bullet"/>
      <w:lvlText w:val=""/>
      <w:lvlJc w:val="left"/>
      <w:pPr>
        <w:tabs>
          <w:tab w:val="num" w:pos="5040"/>
        </w:tabs>
        <w:ind w:left="5040" w:hanging="360"/>
      </w:pPr>
      <w:rPr>
        <w:rFonts w:ascii="Wingdings" w:hAnsi="Wingdings" w:hint="default"/>
      </w:rPr>
    </w:lvl>
    <w:lvl w:ilvl="7" w:tplc="75E6585C" w:tentative="1">
      <w:start w:val="1"/>
      <w:numFmt w:val="bullet"/>
      <w:lvlText w:val=""/>
      <w:lvlJc w:val="left"/>
      <w:pPr>
        <w:tabs>
          <w:tab w:val="num" w:pos="5760"/>
        </w:tabs>
        <w:ind w:left="5760" w:hanging="360"/>
      </w:pPr>
      <w:rPr>
        <w:rFonts w:ascii="Wingdings" w:hAnsi="Wingdings" w:hint="default"/>
      </w:rPr>
    </w:lvl>
    <w:lvl w:ilvl="8" w:tplc="4418D1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11E2A"/>
    <w:multiLevelType w:val="hybridMultilevel"/>
    <w:tmpl w:val="C3A2CDDE"/>
    <w:lvl w:ilvl="0" w:tplc="438A7788">
      <w:start w:val="1"/>
      <w:numFmt w:val="bullet"/>
      <w:lvlText w:val=""/>
      <w:lvlJc w:val="left"/>
      <w:pPr>
        <w:tabs>
          <w:tab w:val="num" w:pos="720"/>
        </w:tabs>
        <w:ind w:left="720" w:hanging="360"/>
      </w:pPr>
      <w:rPr>
        <w:rFonts w:ascii="Wingdings" w:hAnsi="Wingdings" w:hint="default"/>
      </w:rPr>
    </w:lvl>
    <w:lvl w:ilvl="1" w:tplc="18CCB3F8" w:tentative="1">
      <w:start w:val="1"/>
      <w:numFmt w:val="bullet"/>
      <w:lvlText w:val=""/>
      <w:lvlJc w:val="left"/>
      <w:pPr>
        <w:tabs>
          <w:tab w:val="num" w:pos="1440"/>
        </w:tabs>
        <w:ind w:left="1440" w:hanging="360"/>
      </w:pPr>
      <w:rPr>
        <w:rFonts w:ascii="Wingdings" w:hAnsi="Wingdings" w:hint="default"/>
      </w:rPr>
    </w:lvl>
    <w:lvl w:ilvl="2" w:tplc="E7321D08" w:tentative="1">
      <w:start w:val="1"/>
      <w:numFmt w:val="bullet"/>
      <w:lvlText w:val=""/>
      <w:lvlJc w:val="left"/>
      <w:pPr>
        <w:tabs>
          <w:tab w:val="num" w:pos="2160"/>
        </w:tabs>
        <w:ind w:left="2160" w:hanging="360"/>
      </w:pPr>
      <w:rPr>
        <w:rFonts w:ascii="Wingdings" w:hAnsi="Wingdings" w:hint="default"/>
      </w:rPr>
    </w:lvl>
    <w:lvl w:ilvl="3" w:tplc="3168BE66" w:tentative="1">
      <w:start w:val="1"/>
      <w:numFmt w:val="bullet"/>
      <w:lvlText w:val=""/>
      <w:lvlJc w:val="left"/>
      <w:pPr>
        <w:tabs>
          <w:tab w:val="num" w:pos="2880"/>
        </w:tabs>
        <w:ind w:left="2880" w:hanging="360"/>
      </w:pPr>
      <w:rPr>
        <w:rFonts w:ascii="Wingdings" w:hAnsi="Wingdings" w:hint="default"/>
      </w:rPr>
    </w:lvl>
    <w:lvl w:ilvl="4" w:tplc="C3D2D9AA" w:tentative="1">
      <w:start w:val="1"/>
      <w:numFmt w:val="bullet"/>
      <w:lvlText w:val=""/>
      <w:lvlJc w:val="left"/>
      <w:pPr>
        <w:tabs>
          <w:tab w:val="num" w:pos="3600"/>
        </w:tabs>
        <w:ind w:left="3600" w:hanging="360"/>
      </w:pPr>
      <w:rPr>
        <w:rFonts w:ascii="Wingdings" w:hAnsi="Wingdings" w:hint="default"/>
      </w:rPr>
    </w:lvl>
    <w:lvl w:ilvl="5" w:tplc="0BC6EBE0" w:tentative="1">
      <w:start w:val="1"/>
      <w:numFmt w:val="bullet"/>
      <w:lvlText w:val=""/>
      <w:lvlJc w:val="left"/>
      <w:pPr>
        <w:tabs>
          <w:tab w:val="num" w:pos="4320"/>
        </w:tabs>
        <w:ind w:left="4320" w:hanging="360"/>
      </w:pPr>
      <w:rPr>
        <w:rFonts w:ascii="Wingdings" w:hAnsi="Wingdings" w:hint="default"/>
      </w:rPr>
    </w:lvl>
    <w:lvl w:ilvl="6" w:tplc="7F28C5D2" w:tentative="1">
      <w:start w:val="1"/>
      <w:numFmt w:val="bullet"/>
      <w:lvlText w:val=""/>
      <w:lvlJc w:val="left"/>
      <w:pPr>
        <w:tabs>
          <w:tab w:val="num" w:pos="5040"/>
        </w:tabs>
        <w:ind w:left="5040" w:hanging="360"/>
      </w:pPr>
      <w:rPr>
        <w:rFonts w:ascii="Wingdings" w:hAnsi="Wingdings" w:hint="default"/>
      </w:rPr>
    </w:lvl>
    <w:lvl w:ilvl="7" w:tplc="B17213F6" w:tentative="1">
      <w:start w:val="1"/>
      <w:numFmt w:val="bullet"/>
      <w:lvlText w:val=""/>
      <w:lvlJc w:val="left"/>
      <w:pPr>
        <w:tabs>
          <w:tab w:val="num" w:pos="5760"/>
        </w:tabs>
        <w:ind w:left="5760" w:hanging="360"/>
      </w:pPr>
      <w:rPr>
        <w:rFonts w:ascii="Wingdings" w:hAnsi="Wingdings" w:hint="default"/>
      </w:rPr>
    </w:lvl>
    <w:lvl w:ilvl="8" w:tplc="2CBC9A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25C54"/>
    <w:multiLevelType w:val="hybridMultilevel"/>
    <w:tmpl w:val="752A7094"/>
    <w:lvl w:ilvl="0" w:tplc="5268B1CE">
      <w:start w:val="1"/>
      <w:numFmt w:val="bullet"/>
      <w:lvlText w:val=""/>
      <w:lvlJc w:val="left"/>
      <w:pPr>
        <w:tabs>
          <w:tab w:val="num" w:pos="720"/>
        </w:tabs>
        <w:ind w:left="720" w:hanging="360"/>
      </w:pPr>
      <w:rPr>
        <w:rFonts w:ascii="Wingdings" w:hAnsi="Wingdings" w:hint="default"/>
      </w:rPr>
    </w:lvl>
    <w:lvl w:ilvl="1" w:tplc="D652B3D4" w:tentative="1">
      <w:start w:val="1"/>
      <w:numFmt w:val="bullet"/>
      <w:lvlText w:val=""/>
      <w:lvlJc w:val="left"/>
      <w:pPr>
        <w:tabs>
          <w:tab w:val="num" w:pos="1440"/>
        </w:tabs>
        <w:ind w:left="1440" w:hanging="360"/>
      </w:pPr>
      <w:rPr>
        <w:rFonts w:ascii="Wingdings" w:hAnsi="Wingdings" w:hint="default"/>
      </w:rPr>
    </w:lvl>
    <w:lvl w:ilvl="2" w:tplc="833051B8" w:tentative="1">
      <w:start w:val="1"/>
      <w:numFmt w:val="bullet"/>
      <w:lvlText w:val=""/>
      <w:lvlJc w:val="left"/>
      <w:pPr>
        <w:tabs>
          <w:tab w:val="num" w:pos="2160"/>
        </w:tabs>
        <w:ind w:left="2160" w:hanging="360"/>
      </w:pPr>
      <w:rPr>
        <w:rFonts w:ascii="Wingdings" w:hAnsi="Wingdings" w:hint="default"/>
      </w:rPr>
    </w:lvl>
    <w:lvl w:ilvl="3" w:tplc="8842DF34" w:tentative="1">
      <w:start w:val="1"/>
      <w:numFmt w:val="bullet"/>
      <w:lvlText w:val=""/>
      <w:lvlJc w:val="left"/>
      <w:pPr>
        <w:tabs>
          <w:tab w:val="num" w:pos="2880"/>
        </w:tabs>
        <w:ind w:left="2880" w:hanging="360"/>
      </w:pPr>
      <w:rPr>
        <w:rFonts w:ascii="Wingdings" w:hAnsi="Wingdings" w:hint="default"/>
      </w:rPr>
    </w:lvl>
    <w:lvl w:ilvl="4" w:tplc="84F88B9A" w:tentative="1">
      <w:start w:val="1"/>
      <w:numFmt w:val="bullet"/>
      <w:lvlText w:val=""/>
      <w:lvlJc w:val="left"/>
      <w:pPr>
        <w:tabs>
          <w:tab w:val="num" w:pos="3600"/>
        </w:tabs>
        <w:ind w:left="3600" w:hanging="360"/>
      </w:pPr>
      <w:rPr>
        <w:rFonts w:ascii="Wingdings" w:hAnsi="Wingdings" w:hint="default"/>
      </w:rPr>
    </w:lvl>
    <w:lvl w:ilvl="5" w:tplc="0EDC8022" w:tentative="1">
      <w:start w:val="1"/>
      <w:numFmt w:val="bullet"/>
      <w:lvlText w:val=""/>
      <w:lvlJc w:val="left"/>
      <w:pPr>
        <w:tabs>
          <w:tab w:val="num" w:pos="4320"/>
        </w:tabs>
        <w:ind w:left="4320" w:hanging="360"/>
      </w:pPr>
      <w:rPr>
        <w:rFonts w:ascii="Wingdings" w:hAnsi="Wingdings" w:hint="default"/>
      </w:rPr>
    </w:lvl>
    <w:lvl w:ilvl="6" w:tplc="12D8462E" w:tentative="1">
      <w:start w:val="1"/>
      <w:numFmt w:val="bullet"/>
      <w:lvlText w:val=""/>
      <w:lvlJc w:val="left"/>
      <w:pPr>
        <w:tabs>
          <w:tab w:val="num" w:pos="5040"/>
        </w:tabs>
        <w:ind w:left="5040" w:hanging="360"/>
      </w:pPr>
      <w:rPr>
        <w:rFonts w:ascii="Wingdings" w:hAnsi="Wingdings" w:hint="default"/>
      </w:rPr>
    </w:lvl>
    <w:lvl w:ilvl="7" w:tplc="E77404B4" w:tentative="1">
      <w:start w:val="1"/>
      <w:numFmt w:val="bullet"/>
      <w:lvlText w:val=""/>
      <w:lvlJc w:val="left"/>
      <w:pPr>
        <w:tabs>
          <w:tab w:val="num" w:pos="5760"/>
        </w:tabs>
        <w:ind w:left="5760" w:hanging="360"/>
      </w:pPr>
      <w:rPr>
        <w:rFonts w:ascii="Wingdings" w:hAnsi="Wingdings" w:hint="default"/>
      </w:rPr>
    </w:lvl>
    <w:lvl w:ilvl="8" w:tplc="D2EC1D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82EF8"/>
    <w:multiLevelType w:val="hybridMultilevel"/>
    <w:tmpl w:val="1D268406"/>
    <w:lvl w:ilvl="0" w:tplc="4686E944">
      <w:start w:val="1"/>
      <w:numFmt w:val="bullet"/>
      <w:lvlText w:val=""/>
      <w:lvlJc w:val="left"/>
      <w:pPr>
        <w:tabs>
          <w:tab w:val="num" w:pos="720"/>
        </w:tabs>
        <w:ind w:left="720" w:hanging="360"/>
      </w:pPr>
      <w:rPr>
        <w:rFonts w:ascii="Wingdings" w:hAnsi="Wingdings" w:hint="default"/>
      </w:rPr>
    </w:lvl>
    <w:lvl w:ilvl="1" w:tplc="706C7AC8" w:tentative="1">
      <w:start w:val="1"/>
      <w:numFmt w:val="bullet"/>
      <w:lvlText w:val=""/>
      <w:lvlJc w:val="left"/>
      <w:pPr>
        <w:tabs>
          <w:tab w:val="num" w:pos="1440"/>
        </w:tabs>
        <w:ind w:left="1440" w:hanging="360"/>
      </w:pPr>
      <w:rPr>
        <w:rFonts w:ascii="Wingdings" w:hAnsi="Wingdings" w:hint="default"/>
      </w:rPr>
    </w:lvl>
    <w:lvl w:ilvl="2" w:tplc="E94A4EFA" w:tentative="1">
      <w:start w:val="1"/>
      <w:numFmt w:val="bullet"/>
      <w:lvlText w:val=""/>
      <w:lvlJc w:val="left"/>
      <w:pPr>
        <w:tabs>
          <w:tab w:val="num" w:pos="2160"/>
        </w:tabs>
        <w:ind w:left="2160" w:hanging="360"/>
      </w:pPr>
      <w:rPr>
        <w:rFonts w:ascii="Wingdings" w:hAnsi="Wingdings" w:hint="default"/>
      </w:rPr>
    </w:lvl>
    <w:lvl w:ilvl="3" w:tplc="1C228F74" w:tentative="1">
      <w:start w:val="1"/>
      <w:numFmt w:val="bullet"/>
      <w:lvlText w:val=""/>
      <w:lvlJc w:val="left"/>
      <w:pPr>
        <w:tabs>
          <w:tab w:val="num" w:pos="2880"/>
        </w:tabs>
        <w:ind w:left="2880" w:hanging="360"/>
      </w:pPr>
      <w:rPr>
        <w:rFonts w:ascii="Wingdings" w:hAnsi="Wingdings" w:hint="default"/>
      </w:rPr>
    </w:lvl>
    <w:lvl w:ilvl="4" w:tplc="B98A63B8" w:tentative="1">
      <w:start w:val="1"/>
      <w:numFmt w:val="bullet"/>
      <w:lvlText w:val=""/>
      <w:lvlJc w:val="left"/>
      <w:pPr>
        <w:tabs>
          <w:tab w:val="num" w:pos="3600"/>
        </w:tabs>
        <w:ind w:left="3600" w:hanging="360"/>
      </w:pPr>
      <w:rPr>
        <w:rFonts w:ascii="Wingdings" w:hAnsi="Wingdings" w:hint="default"/>
      </w:rPr>
    </w:lvl>
    <w:lvl w:ilvl="5" w:tplc="F4CCD856" w:tentative="1">
      <w:start w:val="1"/>
      <w:numFmt w:val="bullet"/>
      <w:lvlText w:val=""/>
      <w:lvlJc w:val="left"/>
      <w:pPr>
        <w:tabs>
          <w:tab w:val="num" w:pos="4320"/>
        </w:tabs>
        <w:ind w:left="4320" w:hanging="360"/>
      </w:pPr>
      <w:rPr>
        <w:rFonts w:ascii="Wingdings" w:hAnsi="Wingdings" w:hint="default"/>
      </w:rPr>
    </w:lvl>
    <w:lvl w:ilvl="6" w:tplc="09F43210" w:tentative="1">
      <w:start w:val="1"/>
      <w:numFmt w:val="bullet"/>
      <w:lvlText w:val=""/>
      <w:lvlJc w:val="left"/>
      <w:pPr>
        <w:tabs>
          <w:tab w:val="num" w:pos="5040"/>
        </w:tabs>
        <w:ind w:left="5040" w:hanging="360"/>
      </w:pPr>
      <w:rPr>
        <w:rFonts w:ascii="Wingdings" w:hAnsi="Wingdings" w:hint="default"/>
      </w:rPr>
    </w:lvl>
    <w:lvl w:ilvl="7" w:tplc="DFA41B78" w:tentative="1">
      <w:start w:val="1"/>
      <w:numFmt w:val="bullet"/>
      <w:lvlText w:val=""/>
      <w:lvlJc w:val="left"/>
      <w:pPr>
        <w:tabs>
          <w:tab w:val="num" w:pos="5760"/>
        </w:tabs>
        <w:ind w:left="5760" w:hanging="360"/>
      </w:pPr>
      <w:rPr>
        <w:rFonts w:ascii="Wingdings" w:hAnsi="Wingdings" w:hint="default"/>
      </w:rPr>
    </w:lvl>
    <w:lvl w:ilvl="8" w:tplc="3B3826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C47CC3"/>
    <w:multiLevelType w:val="hybridMultilevel"/>
    <w:tmpl w:val="261A3E2E"/>
    <w:lvl w:ilvl="0" w:tplc="D84C6A80">
      <w:start w:val="1"/>
      <w:numFmt w:val="bullet"/>
      <w:lvlText w:val=""/>
      <w:lvlJc w:val="left"/>
      <w:pPr>
        <w:tabs>
          <w:tab w:val="num" w:pos="720"/>
        </w:tabs>
        <w:ind w:left="720" w:hanging="360"/>
      </w:pPr>
      <w:rPr>
        <w:rFonts w:ascii="Wingdings" w:hAnsi="Wingdings" w:hint="default"/>
      </w:rPr>
    </w:lvl>
    <w:lvl w:ilvl="1" w:tplc="1DF81D6C" w:tentative="1">
      <w:start w:val="1"/>
      <w:numFmt w:val="bullet"/>
      <w:lvlText w:val=""/>
      <w:lvlJc w:val="left"/>
      <w:pPr>
        <w:tabs>
          <w:tab w:val="num" w:pos="1440"/>
        </w:tabs>
        <w:ind w:left="1440" w:hanging="360"/>
      </w:pPr>
      <w:rPr>
        <w:rFonts w:ascii="Wingdings" w:hAnsi="Wingdings" w:hint="default"/>
      </w:rPr>
    </w:lvl>
    <w:lvl w:ilvl="2" w:tplc="3F96D734" w:tentative="1">
      <w:start w:val="1"/>
      <w:numFmt w:val="bullet"/>
      <w:lvlText w:val=""/>
      <w:lvlJc w:val="left"/>
      <w:pPr>
        <w:tabs>
          <w:tab w:val="num" w:pos="2160"/>
        </w:tabs>
        <w:ind w:left="2160" w:hanging="360"/>
      </w:pPr>
      <w:rPr>
        <w:rFonts w:ascii="Wingdings" w:hAnsi="Wingdings" w:hint="default"/>
      </w:rPr>
    </w:lvl>
    <w:lvl w:ilvl="3" w:tplc="7B2A704A" w:tentative="1">
      <w:start w:val="1"/>
      <w:numFmt w:val="bullet"/>
      <w:lvlText w:val=""/>
      <w:lvlJc w:val="left"/>
      <w:pPr>
        <w:tabs>
          <w:tab w:val="num" w:pos="2880"/>
        </w:tabs>
        <w:ind w:left="2880" w:hanging="360"/>
      </w:pPr>
      <w:rPr>
        <w:rFonts w:ascii="Wingdings" w:hAnsi="Wingdings" w:hint="default"/>
      </w:rPr>
    </w:lvl>
    <w:lvl w:ilvl="4" w:tplc="648CE20C" w:tentative="1">
      <w:start w:val="1"/>
      <w:numFmt w:val="bullet"/>
      <w:lvlText w:val=""/>
      <w:lvlJc w:val="left"/>
      <w:pPr>
        <w:tabs>
          <w:tab w:val="num" w:pos="3600"/>
        </w:tabs>
        <w:ind w:left="3600" w:hanging="360"/>
      </w:pPr>
      <w:rPr>
        <w:rFonts w:ascii="Wingdings" w:hAnsi="Wingdings" w:hint="default"/>
      </w:rPr>
    </w:lvl>
    <w:lvl w:ilvl="5" w:tplc="70D64312" w:tentative="1">
      <w:start w:val="1"/>
      <w:numFmt w:val="bullet"/>
      <w:lvlText w:val=""/>
      <w:lvlJc w:val="left"/>
      <w:pPr>
        <w:tabs>
          <w:tab w:val="num" w:pos="4320"/>
        </w:tabs>
        <w:ind w:left="4320" w:hanging="360"/>
      </w:pPr>
      <w:rPr>
        <w:rFonts w:ascii="Wingdings" w:hAnsi="Wingdings" w:hint="default"/>
      </w:rPr>
    </w:lvl>
    <w:lvl w:ilvl="6" w:tplc="56682F9C" w:tentative="1">
      <w:start w:val="1"/>
      <w:numFmt w:val="bullet"/>
      <w:lvlText w:val=""/>
      <w:lvlJc w:val="left"/>
      <w:pPr>
        <w:tabs>
          <w:tab w:val="num" w:pos="5040"/>
        </w:tabs>
        <w:ind w:left="5040" w:hanging="360"/>
      </w:pPr>
      <w:rPr>
        <w:rFonts w:ascii="Wingdings" w:hAnsi="Wingdings" w:hint="default"/>
      </w:rPr>
    </w:lvl>
    <w:lvl w:ilvl="7" w:tplc="EA1E0A28" w:tentative="1">
      <w:start w:val="1"/>
      <w:numFmt w:val="bullet"/>
      <w:lvlText w:val=""/>
      <w:lvlJc w:val="left"/>
      <w:pPr>
        <w:tabs>
          <w:tab w:val="num" w:pos="5760"/>
        </w:tabs>
        <w:ind w:left="5760" w:hanging="360"/>
      </w:pPr>
      <w:rPr>
        <w:rFonts w:ascii="Wingdings" w:hAnsi="Wingdings" w:hint="default"/>
      </w:rPr>
    </w:lvl>
    <w:lvl w:ilvl="8" w:tplc="1586FB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F1A9F"/>
    <w:multiLevelType w:val="hybridMultilevel"/>
    <w:tmpl w:val="E19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67677"/>
    <w:multiLevelType w:val="hybridMultilevel"/>
    <w:tmpl w:val="23B64534"/>
    <w:lvl w:ilvl="0" w:tplc="6F3E0EFE">
      <w:start w:val="1"/>
      <w:numFmt w:val="bullet"/>
      <w:lvlText w:val=""/>
      <w:lvlJc w:val="left"/>
      <w:pPr>
        <w:tabs>
          <w:tab w:val="num" w:pos="720"/>
        </w:tabs>
        <w:ind w:left="720" w:hanging="360"/>
      </w:pPr>
      <w:rPr>
        <w:rFonts w:ascii="Wingdings" w:hAnsi="Wingdings" w:hint="default"/>
      </w:rPr>
    </w:lvl>
    <w:lvl w:ilvl="1" w:tplc="A31E59EE" w:tentative="1">
      <w:start w:val="1"/>
      <w:numFmt w:val="bullet"/>
      <w:lvlText w:val=""/>
      <w:lvlJc w:val="left"/>
      <w:pPr>
        <w:tabs>
          <w:tab w:val="num" w:pos="1440"/>
        </w:tabs>
        <w:ind w:left="1440" w:hanging="360"/>
      </w:pPr>
      <w:rPr>
        <w:rFonts w:ascii="Wingdings" w:hAnsi="Wingdings" w:hint="default"/>
      </w:rPr>
    </w:lvl>
    <w:lvl w:ilvl="2" w:tplc="8C0AECD2" w:tentative="1">
      <w:start w:val="1"/>
      <w:numFmt w:val="bullet"/>
      <w:lvlText w:val=""/>
      <w:lvlJc w:val="left"/>
      <w:pPr>
        <w:tabs>
          <w:tab w:val="num" w:pos="2160"/>
        </w:tabs>
        <w:ind w:left="2160" w:hanging="360"/>
      </w:pPr>
      <w:rPr>
        <w:rFonts w:ascii="Wingdings" w:hAnsi="Wingdings" w:hint="default"/>
      </w:rPr>
    </w:lvl>
    <w:lvl w:ilvl="3" w:tplc="C25A79DE" w:tentative="1">
      <w:start w:val="1"/>
      <w:numFmt w:val="bullet"/>
      <w:lvlText w:val=""/>
      <w:lvlJc w:val="left"/>
      <w:pPr>
        <w:tabs>
          <w:tab w:val="num" w:pos="2880"/>
        </w:tabs>
        <w:ind w:left="2880" w:hanging="360"/>
      </w:pPr>
      <w:rPr>
        <w:rFonts w:ascii="Wingdings" w:hAnsi="Wingdings" w:hint="default"/>
      </w:rPr>
    </w:lvl>
    <w:lvl w:ilvl="4" w:tplc="D1646A0A" w:tentative="1">
      <w:start w:val="1"/>
      <w:numFmt w:val="bullet"/>
      <w:lvlText w:val=""/>
      <w:lvlJc w:val="left"/>
      <w:pPr>
        <w:tabs>
          <w:tab w:val="num" w:pos="3600"/>
        </w:tabs>
        <w:ind w:left="3600" w:hanging="360"/>
      </w:pPr>
      <w:rPr>
        <w:rFonts w:ascii="Wingdings" w:hAnsi="Wingdings" w:hint="default"/>
      </w:rPr>
    </w:lvl>
    <w:lvl w:ilvl="5" w:tplc="63760BD4" w:tentative="1">
      <w:start w:val="1"/>
      <w:numFmt w:val="bullet"/>
      <w:lvlText w:val=""/>
      <w:lvlJc w:val="left"/>
      <w:pPr>
        <w:tabs>
          <w:tab w:val="num" w:pos="4320"/>
        </w:tabs>
        <w:ind w:left="4320" w:hanging="360"/>
      </w:pPr>
      <w:rPr>
        <w:rFonts w:ascii="Wingdings" w:hAnsi="Wingdings" w:hint="default"/>
      </w:rPr>
    </w:lvl>
    <w:lvl w:ilvl="6" w:tplc="48041740" w:tentative="1">
      <w:start w:val="1"/>
      <w:numFmt w:val="bullet"/>
      <w:lvlText w:val=""/>
      <w:lvlJc w:val="left"/>
      <w:pPr>
        <w:tabs>
          <w:tab w:val="num" w:pos="5040"/>
        </w:tabs>
        <w:ind w:left="5040" w:hanging="360"/>
      </w:pPr>
      <w:rPr>
        <w:rFonts w:ascii="Wingdings" w:hAnsi="Wingdings" w:hint="default"/>
      </w:rPr>
    </w:lvl>
    <w:lvl w:ilvl="7" w:tplc="585657F2" w:tentative="1">
      <w:start w:val="1"/>
      <w:numFmt w:val="bullet"/>
      <w:lvlText w:val=""/>
      <w:lvlJc w:val="left"/>
      <w:pPr>
        <w:tabs>
          <w:tab w:val="num" w:pos="5760"/>
        </w:tabs>
        <w:ind w:left="5760" w:hanging="360"/>
      </w:pPr>
      <w:rPr>
        <w:rFonts w:ascii="Wingdings" w:hAnsi="Wingdings" w:hint="default"/>
      </w:rPr>
    </w:lvl>
    <w:lvl w:ilvl="8" w:tplc="7B88923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6"/>
  </w:num>
  <w:num w:numId="6">
    <w:abstractNumId w:val="0"/>
  </w:num>
  <w:num w:numId="7">
    <w:abstractNumId w:val="1"/>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B"/>
    <w:rsid w:val="00021272"/>
    <w:rsid w:val="00045437"/>
    <w:rsid w:val="000B43D1"/>
    <w:rsid w:val="000F62DD"/>
    <w:rsid w:val="002A7A3E"/>
    <w:rsid w:val="002D2719"/>
    <w:rsid w:val="00363891"/>
    <w:rsid w:val="003F7C85"/>
    <w:rsid w:val="004256FF"/>
    <w:rsid w:val="00436FAB"/>
    <w:rsid w:val="004F5E93"/>
    <w:rsid w:val="00577DD2"/>
    <w:rsid w:val="0067317C"/>
    <w:rsid w:val="007C1530"/>
    <w:rsid w:val="00871734"/>
    <w:rsid w:val="009117C1"/>
    <w:rsid w:val="0097243B"/>
    <w:rsid w:val="009C27E0"/>
    <w:rsid w:val="00A56C36"/>
    <w:rsid w:val="00A61810"/>
    <w:rsid w:val="00A759B6"/>
    <w:rsid w:val="00B35B9E"/>
    <w:rsid w:val="00B56E92"/>
    <w:rsid w:val="00BA4AD1"/>
    <w:rsid w:val="00BB55AF"/>
    <w:rsid w:val="00BF769B"/>
    <w:rsid w:val="00BF7846"/>
    <w:rsid w:val="00D00068"/>
    <w:rsid w:val="00DA18CC"/>
    <w:rsid w:val="00DF14D0"/>
    <w:rsid w:val="00E76808"/>
    <w:rsid w:val="00E92F67"/>
    <w:rsid w:val="00EF6299"/>
    <w:rsid w:val="00F26623"/>
    <w:rsid w:val="00F761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581DC0"/>
  <w15:chartTrackingRefBased/>
  <w15:docId w15:val="{AA604FE0-F267-4459-9359-1CDE4CAE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69B"/>
  </w:style>
  <w:style w:type="paragraph" w:styleId="Footer">
    <w:name w:val="footer"/>
    <w:basedOn w:val="Normal"/>
    <w:link w:val="FooterChar"/>
    <w:uiPriority w:val="99"/>
    <w:unhideWhenUsed/>
    <w:rsid w:val="00BF7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69B"/>
  </w:style>
  <w:style w:type="paragraph" w:styleId="ListParagraph">
    <w:name w:val="List Paragraph"/>
    <w:basedOn w:val="Normal"/>
    <w:uiPriority w:val="34"/>
    <w:qFormat/>
    <w:rsid w:val="00DA18CC"/>
    <w:pPr>
      <w:ind w:left="720"/>
      <w:contextualSpacing/>
    </w:pPr>
  </w:style>
  <w:style w:type="table" w:styleId="TableGrid">
    <w:name w:val="Table Grid"/>
    <w:basedOn w:val="TableNormal"/>
    <w:uiPriority w:val="39"/>
    <w:rsid w:val="00A75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59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0056">
      <w:bodyDiv w:val="1"/>
      <w:marLeft w:val="0"/>
      <w:marRight w:val="0"/>
      <w:marTop w:val="0"/>
      <w:marBottom w:val="0"/>
      <w:divBdr>
        <w:top w:val="none" w:sz="0" w:space="0" w:color="auto"/>
        <w:left w:val="none" w:sz="0" w:space="0" w:color="auto"/>
        <w:bottom w:val="none" w:sz="0" w:space="0" w:color="auto"/>
        <w:right w:val="none" w:sz="0" w:space="0" w:color="auto"/>
      </w:divBdr>
    </w:div>
    <w:div w:id="321550480">
      <w:bodyDiv w:val="1"/>
      <w:marLeft w:val="0"/>
      <w:marRight w:val="0"/>
      <w:marTop w:val="0"/>
      <w:marBottom w:val="0"/>
      <w:divBdr>
        <w:top w:val="none" w:sz="0" w:space="0" w:color="auto"/>
        <w:left w:val="none" w:sz="0" w:space="0" w:color="auto"/>
        <w:bottom w:val="none" w:sz="0" w:space="0" w:color="auto"/>
        <w:right w:val="none" w:sz="0" w:space="0" w:color="auto"/>
      </w:divBdr>
      <w:divsChild>
        <w:div w:id="488979086">
          <w:marLeft w:val="274"/>
          <w:marRight w:val="0"/>
          <w:marTop w:val="0"/>
          <w:marBottom w:val="0"/>
          <w:divBdr>
            <w:top w:val="none" w:sz="0" w:space="0" w:color="auto"/>
            <w:left w:val="none" w:sz="0" w:space="0" w:color="auto"/>
            <w:bottom w:val="none" w:sz="0" w:space="0" w:color="auto"/>
            <w:right w:val="none" w:sz="0" w:space="0" w:color="auto"/>
          </w:divBdr>
        </w:div>
        <w:div w:id="1211914740">
          <w:marLeft w:val="274"/>
          <w:marRight w:val="0"/>
          <w:marTop w:val="0"/>
          <w:marBottom w:val="0"/>
          <w:divBdr>
            <w:top w:val="none" w:sz="0" w:space="0" w:color="auto"/>
            <w:left w:val="none" w:sz="0" w:space="0" w:color="auto"/>
            <w:bottom w:val="none" w:sz="0" w:space="0" w:color="auto"/>
            <w:right w:val="none" w:sz="0" w:space="0" w:color="auto"/>
          </w:divBdr>
        </w:div>
        <w:div w:id="1959797766">
          <w:marLeft w:val="274"/>
          <w:marRight w:val="0"/>
          <w:marTop w:val="0"/>
          <w:marBottom w:val="0"/>
          <w:divBdr>
            <w:top w:val="none" w:sz="0" w:space="0" w:color="auto"/>
            <w:left w:val="none" w:sz="0" w:space="0" w:color="auto"/>
            <w:bottom w:val="none" w:sz="0" w:space="0" w:color="auto"/>
            <w:right w:val="none" w:sz="0" w:space="0" w:color="auto"/>
          </w:divBdr>
        </w:div>
      </w:divsChild>
    </w:div>
    <w:div w:id="621694577">
      <w:bodyDiv w:val="1"/>
      <w:marLeft w:val="0"/>
      <w:marRight w:val="0"/>
      <w:marTop w:val="0"/>
      <w:marBottom w:val="0"/>
      <w:divBdr>
        <w:top w:val="none" w:sz="0" w:space="0" w:color="auto"/>
        <w:left w:val="none" w:sz="0" w:space="0" w:color="auto"/>
        <w:bottom w:val="none" w:sz="0" w:space="0" w:color="auto"/>
        <w:right w:val="none" w:sz="0" w:space="0" w:color="auto"/>
      </w:divBdr>
      <w:divsChild>
        <w:div w:id="1445273380">
          <w:marLeft w:val="274"/>
          <w:marRight w:val="0"/>
          <w:marTop w:val="0"/>
          <w:marBottom w:val="0"/>
          <w:divBdr>
            <w:top w:val="none" w:sz="0" w:space="0" w:color="auto"/>
            <w:left w:val="none" w:sz="0" w:space="0" w:color="auto"/>
            <w:bottom w:val="none" w:sz="0" w:space="0" w:color="auto"/>
            <w:right w:val="none" w:sz="0" w:space="0" w:color="auto"/>
          </w:divBdr>
        </w:div>
        <w:div w:id="1008096922">
          <w:marLeft w:val="274"/>
          <w:marRight w:val="0"/>
          <w:marTop w:val="0"/>
          <w:marBottom w:val="0"/>
          <w:divBdr>
            <w:top w:val="none" w:sz="0" w:space="0" w:color="auto"/>
            <w:left w:val="none" w:sz="0" w:space="0" w:color="auto"/>
            <w:bottom w:val="none" w:sz="0" w:space="0" w:color="auto"/>
            <w:right w:val="none" w:sz="0" w:space="0" w:color="auto"/>
          </w:divBdr>
        </w:div>
        <w:div w:id="743651009">
          <w:marLeft w:val="274"/>
          <w:marRight w:val="0"/>
          <w:marTop w:val="0"/>
          <w:marBottom w:val="0"/>
          <w:divBdr>
            <w:top w:val="none" w:sz="0" w:space="0" w:color="auto"/>
            <w:left w:val="none" w:sz="0" w:space="0" w:color="auto"/>
            <w:bottom w:val="none" w:sz="0" w:space="0" w:color="auto"/>
            <w:right w:val="none" w:sz="0" w:space="0" w:color="auto"/>
          </w:divBdr>
        </w:div>
      </w:divsChild>
    </w:div>
    <w:div w:id="642082371">
      <w:bodyDiv w:val="1"/>
      <w:marLeft w:val="0"/>
      <w:marRight w:val="0"/>
      <w:marTop w:val="0"/>
      <w:marBottom w:val="0"/>
      <w:divBdr>
        <w:top w:val="none" w:sz="0" w:space="0" w:color="auto"/>
        <w:left w:val="none" w:sz="0" w:space="0" w:color="auto"/>
        <w:bottom w:val="none" w:sz="0" w:space="0" w:color="auto"/>
        <w:right w:val="none" w:sz="0" w:space="0" w:color="auto"/>
      </w:divBdr>
      <w:divsChild>
        <w:div w:id="906765766">
          <w:marLeft w:val="274"/>
          <w:marRight w:val="0"/>
          <w:marTop w:val="0"/>
          <w:marBottom w:val="0"/>
          <w:divBdr>
            <w:top w:val="none" w:sz="0" w:space="0" w:color="auto"/>
            <w:left w:val="none" w:sz="0" w:space="0" w:color="auto"/>
            <w:bottom w:val="none" w:sz="0" w:space="0" w:color="auto"/>
            <w:right w:val="none" w:sz="0" w:space="0" w:color="auto"/>
          </w:divBdr>
        </w:div>
        <w:div w:id="1388840507">
          <w:marLeft w:val="274"/>
          <w:marRight w:val="0"/>
          <w:marTop w:val="0"/>
          <w:marBottom w:val="0"/>
          <w:divBdr>
            <w:top w:val="none" w:sz="0" w:space="0" w:color="auto"/>
            <w:left w:val="none" w:sz="0" w:space="0" w:color="auto"/>
            <w:bottom w:val="none" w:sz="0" w:space="0" w:color="auto"/>
            <w:right w:val="none" w:sz="0" w:space="0" w:color="auto"/>
          </w:divBdr>
        </w:div>
        <w:div w:id="759302556">
          <w:marLeft w:val="274"/>
          <w:marRight w:val="0"/>
          <w:marTop w:val="0"/>
          <w:marBottom w:val="0"/>
          <w:divBdr>
            <w:top w:val="none" w:sz="0" w:space="0" w:color="auto"/>
            <w:left w:val="none" w:sz="0" w:space="0" w:color="auto"/>
            <w:bottom w:val="none" w:sz="0" w:space="0" w:color="auto"/>
            <w:right w:val="none" w:sz="0" w:space="0" w:color="auto"/>
          </w:divBdr>
        </w:div>
      </w:divsChild>
    </w:div>
    <w:div w:id="1121417578">
      <w:bodyDiv w:val="1"/>
      <w:marLeft w:val="0"/>
      <w:marRight w:val="0"/>
      <w:marTop w:val="0"/>
      <w:marBottom w:val="0"/>
      <w:divBdr>
        <w:top w:val="none" w:sz="0" w:space="0" w:color="auto"/>
        <w:left w:val="none" w:sz="0" w:space="0" w:color="auto"/>
        <w:bottom w:val="none" w:sz="0" w:space="0" w:color="auto"/>
        <w:right w:val="none" w:sz="0" w:space="0" w:color="auto"/>
      </w:divBdr>
      <w:divsChild>
        <w:div w:id="102919571">
          <w:marLeft w:val="274"/>
          <w:marRight w:val="0"/>
          <w:marTop w:val="0"/>
          <w:marBottom w:val="0"/>
          <w:divBdr>
            <w:top w:val="none" w:sz="0" w:space="0" w:color="auto"/>
            <w:left w:val="none" w:sz="0" w:space="0" w:color="auto"/>
            <w:bottom w:val="none" w:sz="0" w:space="0" w:color="auto"/>
            <w:right w:val="none" w:sz="0" w:space="0" w:color="auto"/>
          </w:divBdr>
        </w:div>
        <w:div w:id="587933540">
          <w:marLeft w:val="274"/>
          <w:marRight w:val="0"/>
          <w:marTop w:val="0"/>
          <w:marBottom w:val="0"/>
          <w:divBdr>
            <w:top w:val="none" w:sz="0" w:space="0" w:color="auto"/>
            <w:left w:val="none" w:sz="0" w:space="0" w:color="auto"/>
            <w:bottom w:val="none" w:sz="0" w:space="0" w:color="auto"/>
            <w:right w:val="none" w:sz="0" w:space="0" w:color="auto"/>
          </w:divBdr>
        </w:div>
      </w:divsChild>
    </w:div>
    <w:div w:id="1325086985">
      <w:bodyDiv w:val="1"/>
      <w:marLeft w:val="0"/>
      <w:marRight w:val="0"/>
      <w:marTop w:val="0"/>
      <w:marBottom w:val="0"/>
      <w:divBdr>
        <w:top w:val="none" w:sz="0" w:space="0" w:color="auto"/>
        <w:left w:val="none" w:sz="0" w:space="0" w:color="auto"/>
        <w:bottom w:val="none" w:sz="0" w:space="0" w:color="auto"/>
        <w:right w:val="none" w:sz="0" w:space="0" w:color="auto"/>
      </w:divBdr>
      <w:divsChild>
        <w:div w:id="496312993">
          <w:marLeft w:val="360"/>
          <w:marRight w:val="0"/>
          <w:marTop w:val="0"/>
          <w:marBottom w:val="0"/>
          <w:divBdr>
            <w:top w:val="none" w:sz="0" w:space="0" w:color="auto"/>
            <w:left w:val="none" w:sz="0" w:space="0" w:color="auto"/>
            <w:bottom w:val="none" w:sz="0" w:space="0" w:color="auto"/>
            <w:right w:val="none" w:sz="0" w:space="0" w:color="auto"/>
          </w:divBdr>
        </w:div>
        <w:div w:id="618414817">
          <w:marLeft w:val="360"/>
          <w:marRight w:val="0"/>
          <w:marTop w:val="0"/>
          <w:marBottom w:val="0"/>
          <w:divBdr>
            <w:top w:val="none" w:sz="0" w:space="0" w:color="auto"/>
            <w:left w:val="none" w:sz="0" w:space="0" w:color="auto"/>
            <w:bottom w:val="none" w:sz="0" w:space="0" w:color="auto"/>
            <w:right w:val="none" w:sz="0" w:space="0" w:color="auto"/>
          </w:divBdr>
        </w:div>
        <w:div w:id="245575605">
          <w:marLeft w:val="360"/>
          <w:marRight w:val="0"/>
          <w:marTop w:val="0"/>
          <w:marBottom w:val="0"/>
          <w:divBdr>
            <w:top w:val="none" w:sz="0" w:space="0" w:color="auto"/>
            <w:left w:val="none" w:sz="0" w:space="0" w:color="auto"/>
            <w:bottom w:val="none" w:sz="0" w:space="0" w:color="auto"/>
            <w:right w:val="none" w:sz="0" w:space="0" w:color="auto"/>
          </w:divBdr>
        </w:div>
      </w:divsChild>
    </w:div>
    <w:div w:id="1385250414">
      <w:bodyDiv w:val="1"/>
      <w:marLeft w:val="0"/>
      <w:marRight w:val="0"/>
      <w:marTop w:val="0"/>
      <w:marBottom w:val="0"/>
      <w:divBdr>
        <w:top w:val="none" w:sz="0" w:space="0" w:color="auto"/>
        <w:left w:val="none" w:sz="0" w:space="0" w:color="auto"/>
        <w:bottom w:val="none" w:sz="0" w:space="0" w:color="auto"/>
        <w:right w:val="none" w:sz="0" w:space="0" w:color="auto"/>
      </w:divBdr>
    </w:div>
    <w:div w:id="1468355009">
      <w:bodyDiv w:val="1"/>
      <w:marLeft w:val="0"/>
      <w:marRight w:val="0"/>
      <w:marTop w:val="0"/>
      <w:marBottom w:val="0"/>
      <w:divBdr>
        <w:top w:val="none" w:sz="0" w:space="0" w:color="auto"/>
        <w:left w:val="none" w:sz="0" w:space="0" w:color="auto"/>
        <w:bottom w:val="none" w:sz="0" w:space="0" w:color="auto"/>
        <w:right w:val="none" w:sz="0" w:space="0" w:color="auto"/>
      </w:divBdr>
      <w:divsChild>
        <w:div w:id="206063807">
          <w:marLeft w:val="274"/>
          <w:marRight w:val="0"/>
          <w:marTop w:val="0"/>
          <w:marBottom w:val="0"/>
          <w:divBdr>
            <w:top w:val="none" w:sz="0" w:space="0" w:color="auto"/>
            <w:left w:val="none" w:sz="0" w:space="0" w:color="auto"/>
            <w:bottom w:val="none" w:sz="0" w:space="0" w:color="auto"/>
            <w:right w:val="none" w:sz="0" w:space="0" w:color="auto"/>
          </w:divBdr>
        </w:div>
        <w:div w:id="237791107">
          <w:marLeft w:val="274"/>
          <w:marRight w:val="0"/>
          <w:marTop w:val="0"/>
          <w:marBottom w:val="0"/>
          <w:divBdr>
            <w:top w:val="none" w:sz="0" w:space="0" w:color="auto"/>
            <w:left w:val="none" w:sz="0" w:space="0" w:color="auto"/>
            <w:bottom w:val="none" w:sz="0" w:space="0" w:color="auto"/>
            <w:right w:val="none" w:sz="0" w:space="0" w:color="auto"/>
          </w:divBdr>
        </w:div>
        <w:div w:id="1300451832">
          <w:marLeft w:val="274"/>
          <w:marRight w:val="0"/>
          <w:marTop w:val="0"/>
          <w:marBottom w:val="0"/>
          <w:divBdr>
            <w:top w:val="none" w:sz="0" w:space="0" w:color="auto"/>
            <w:left w:val="none" w:sz="0" w:space="0" w:color="auto"/>
            <w:bottom w:val="none" w:sz="0" w:space="0" w:color="auto"/>
            <w:right w:val="none" w:sz="0" w:space="0" w:color="auto"/>
          </w:divBdr>
        </w:div>
        <w:div w:id="464545461">
          <w:marLeft w:val="274"/>
          <w:marRight w:val="0"/>
          <w:marTop w:val="0"/>
          <w:marBottom w:val="0"/>
          <w:divBdr>
            <w:top w:val="none" w:sz="0" w:space="0" w:color="auto"/>
            <w:left w:val="none" w:sz="0" w:space="0" w:color="auto"/>
            <w:bottom w:val="none" w:sz="0" w:space="0" w:color="auto"/>
            <w:right w:val="none" w:sz="0" w:space="0" w:color="auto"/>
          </w:divBdr>
        </w:div>
      </w:divsChild>
    </w:div>
    <w:div w:id="1558128271">
      <w:bodyDiv w:val="1"/>
      <w:marLeft w:val="0"/>
      <w:marRight w:val="0"/>
      <w:marTop w:val="0"/>
      <w:marBottom w:val="0"/>
      <w:divBdr>
        <w:top w:val="none" w:sz="0" w:space="0" w:color="auto"/>
        <w:left w:val="none" w:sz="0" w:space="0" w:color="auto"/>
        <w:bottom w:val="none" w:sz="0" w:space="0" w:color="auto"/>
        <w:right w:val="none" w:sz="0" w:space="0" w:color="auto"/>
      </w:divBdr>
      <w:divsChild>
        <w:div w:id="69280834">
          <w:marLeft w:val="274"/>
          <w:marRight w:val="0"/>
          <w:marTop w:val="0"/>
          <w:marBottom w:val="0"/>
          <w:divBdr>
            <w:top w:val="none" w:sz="0" w:space="0" w:color="auto"/>
            <w:left w:val="none" w:sz="0" w:space="0" w:color="auto"/>
            <w:bottom w:val="none" w:sz="0" w:space="0" w:color="auto"/>
            <w:right w:val="none" w:sz="0" w:space="0" w:color="auto"/>
          </w:divBdr>
        </w:div>
        <w:div w:id="1050804606">
          <w:marLeft w:val="274"/>
          <w:marRight w:val="0"/>
          <w:marTop w:val="0"/>
          <w:marBottom w:val="0"/>
          <w:divBdr>
            <w:top w:val="none" w:sz="0" w:space="0" w:color="auto"/>
            <w:left w:val="none" w:sz="0" w:space="0" w:color="auto"/>
            <w:bottom w:val="none" w:sz="0" w:space="0" w:color="auto"/>
            <w:right w:val="none" w:sz="0" w:space="0" w:color="auto"/>
          </w:divBdr>
        </w:div>
        <w:div w:id="1273702793">
          <w:marLeft w:val="274"/>
          <w:marRight w:val="0"/>
          <w:marTop w:val="0"/>
          <w:marBottom w:val="0"/>
          <w:divBdr>
            <w:top w:val="none" w:sz="0" w:space="0" w:color="auto"/>
            <w:left w:val="none" w:sz="0" w:space="0" w:color="auto"/>
            <w:bottom w:val="none" w:sz="0" w:space="0" w:color="auto"/>
            <w:right w:val="none" w:sz="0" w:space="0" w:color="auto"/>
          </w:divBdr>
        </w:div>
        <w:div w:id="302932751">
          <w:marLeft w:val="274"/>
          <w:marRight w:val="0"/>
          <w:marTop w:val="0"/>
          <w:marBottom w:val="0"/>
          <w:divBdr>
            <w:top w:val="none" w:sz="0" w:space="0" w:color="auto"/>
            <w:left w:val="none" w:sz="0" w:space="0" w:color="auto"/>
            <w:bottom w:val="none" w:sz="0" w:space="0" w:color="auto"/>
            <w:right w:val="none" w:sz="0" w:space="0" w:color="auto"/>
          </w:divBdr>
        </w:div>
      </w:divsChild>
    </w:div>
    <w:div w:id="1800762265">
      <w:bodyDiv w:val="1"/>
      <w:marLeft w:val="0"/>
      <w:marRight w:val="0"/>
      <w:marTop w:val="0"/>
      <w:marBottom w:val="0"/>
      <w:divBdr>
        <w:top w:val="none" w:sz="0" w:space="0" w:color="auto"/>
        <w:left w:val="none" w:sz="0" w:space="0" w:color="auto"/>
        <w:bottom w:val="none" w:sz="0" w:space="0" w:color="auto"/>
        <w:right w:val="none" w:sz="0" w:space="0" w:color="auto"/>
      </w:divBdr>
      <w:divsChild>
        <w:div w:id="1995837348">
          <w:marLeft w:val="274"/>
          <w:marRight w:val="0"/>
          <w:marTop w:val="0"/>
          <w:marBottom w:val="0"/>
          <w:divBdr>
            <w:top w:val="none" w:sz="0" w:space="0" w:color="auto"/>
            <w:left w:val="none" w:sz="0" w:space="0" w:color="auto"/>
            <w:bottom w:val="none" w:sz="0" w:space="0" w:color="auto"/>
            <w:right w:val="none" w:sz="0" w:space="0" w:color="auto"/>
          </w:divBdr>
        </w:div>
        <w:div w:id="1792356942">
          <w:marLeft w:val="274"/>
          <w:marRight w:val="0"/>
          <w:marTop w:val="0"/>
          <w:marBottom w:val="0"/>
          <w:divBdr>
            <w:top w:val="none" w:sz="0" w:space="0" w:color="auto"/>
            <w:left w:val="none" w:sz="0" w:space="0" w:color="auto"/>
            <w:bottom w:val="none" w:sz="0" w:space="0" w:color="auto"/>
            <w:right w:val="none" w:sz="0" w:space="0" w:color="auto"/>
          </w:divBdr>
        </w:div>
        <w:div w:id="2086491692">
          <w:marLeft w:val="274"/>
          <w:marRight w:val="0"/>
          <w:marTop w:val="0"/>
          <w:marBottom w:val="0"/>
          <w:divBdr>
            <w:top w:val="none" w:sz="0" w:space="0" w:color="auto"/>
            <w:left w:val="none" w:sz="0" w:space="0" w:color="auto"/>
            <w:bottom w:val="none" w:sz="0" w:space="0" w:color="auto"/>
            <w:right w:val="none" w:sz="0" w:space="0" w:color="auto"/>
          </w:divBdr>
        </w:div>
      </w:divsChild>
    </w:div>
    <w:div w:id="2071270895">
      <w:bodyDiv w:val="1"/>
      <w:marLeft w:val="0"/>
      <w:marRight w:val="0"/>
      <w:marTop w:val="0"/>
      <w:marBottom w:val="0"/>
      <w:divBdr>
        <w:top w:val="none" w:sz="0" w:space="0" w:color="auto"/>
        <w:left w:val="none" w:sz="0" w:space="0" w:color="auto"/>
        <w:bottom w:val="none" w:sz="0" w:space="0" w:color="auto"/>
        <w:right w:val="none" w:sz="0" w:space="0" w:color="auto"/>
      </w:divBdr>
      <w:divsChild>
        <w:div w:id="978802352">
          <w:marLeft w:val="274"/>
          <w:marRight w:val="0"/>
          <w:marTop w:val="0"/>
          <w:marBottom w:val="0"/>
          <w:divBdr>
            <w:top w:val="none" w:sz="0" w:space="0" w:color="auto"/>
            <w:left w:val="none" w:sz="0" w:space="0" w:color="auto"/>
            <w:bottom w:val="none" w:sz="0" w:space="0" w:color="auto"/>
            <w:right w:val="none" w:sz="0" w:space="0" w:color="auto"/>
          </w:divBdr>
        </w:div>
        <w:div w:id="2030375646">
          <w:marLeft w:val="274"/>
          <w:marRight w:val="0"/>
          <w:marTop w:val="0"/>
          <w:marBottom w:val="0"/>
          <w:divBdr>
            <w:top w:val="none" w:sz="0" w:space="0" w:color="auto"/>
            <w:left w:val="none" w:sz="0" w:space="0" w:color="auto"/>
            <w:bottom w:val="none" w:sz="0" w:space="0" w:color="auto"/>
            <w:right w:val="none" w:sz="0" w:space="0" w:color="auto"/>
          </w:divBdr>
        </w:div>
        <w:div w:id="15058960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7597BF3-45E6-4B99-A00A-CE844C0B1332}"/>
      </w:docPartPr>
      <w:docPartBody>
        <w:p w:rsidR="00000000" w:rsidRDefault="00165B33">
          <w:r w:rsidRPr="00520B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33"/>
    <w:rsid w:val="00165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B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7024D6289A694AB5A4FC8BF1737BCF" ma:contentTypeVersion="3" ma:contentTypeDescription="Create a new document." ma:contentTypeScope="" ma:versionID="89de1ba1f5942f095c7084e4681ce3d5">
  <xsd:schema xmlns:xsd="http://www.w3.org/2001/XMLSchema" xmlns:xs="http://www.w3.org/2001/XMLSchema" xmlns:p="http://schemas.microsoft.com/office/2006/metadata/properties" xmlns:ns2="7fa2d969-dfd8-413c-8255-9e0c0fc5aa86" xmlns:ns3="4a8a2481-c3e0-4249-9f93-6a5cec32abc4" targetNamespace="http://schemas.microsoft.com/office/2006/metadata/properties" ma:root="true" ma:fieldsID="7b332925379790179dfd9cba223934cc" ns2:_="" ns3:_="">
    <xsd:import namespace="7fa2d969-dfd8-413c-8255-9e0c0fc5aa86"/>
    <xsd:import namespace="4a8a2481-c3e0-4249-9f93-6a5cec32abc4"/>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2d969-dfd8-413c-8255-9e0c0fc5aa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a2481-c3e0-4249-9f93-6a5cec32abc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E98F7-54C8-4895-8AC8-593590600C09}">
  <ds:schemaRefs>
    <ds:schemaRef ds:uri="http://schemas.openxmlformats.org/officeDocument/2006/bibliography"/>
  </ds:schemaRefs>
</ds:datastoreItem>
</file>

<file path=customXml/itemProps2.xml><?xml version="1.0" encoding="utf-8"?>
<ds:datastoreItem xmlns:ds="http://schemas.openxmlformats.org/officeDocument/2006/customXml" ds:itemID="{16435BB5-B0DA-4F6A-8236-33C479B5A14D}"/>
</file>

<file path=customXml/itemProps3.xml><?xml version="1.0" encoding="utf-8"?>
<ds:datastoreItem xmlns:ds="http://schemas.openxmlformats.org/officeDocument/2006/customXml" ds:itemID="{99EA421A-F909-4EE7-BD5E-D1A1AA4C1325}"/>
</file>

<file path=customXml/itemProps4.xml><?xml version="1.0" encoding="utf-8"?>
<ds:datastoreItem xmlns:ds="http://schemas.openxmlformats.org/officeDocument/2006/customXml" ds:itemID="{E1D2796A-E336-4472-958C-4FE92C193C88}"/>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Holohan</dc:creator>
  <cp:keywords/>
  <dc:description/>
  <cp:lastModifiedBy>Tadhg Blommerde</cp:lastModifiedBy>
  <cp:revision>3</cp:revision>
  <cp:lastPrinted>2017-03-22T16:00:00Z</cp:lastPrinted>
  <dcterms:created xsi:type="dcterms:W3CDTF">2017-06-20T14:22:00Z</dcterms:created>
  <dcterms:modified xsi:type="dcterms:W3CDTF">2017-06-20T14:25:00Z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0x010100527024D6289A694AB5A4FC8BF1737BCF</vt:lpwstr>
  </property>
</Properties>
</file>