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15BE4" w14:textId="77777777" w:rsidR="002D2719" w:rsidRDefault="002D2719" w:rsidP="00F7610A">
      <w:pPr>
        <w:rPr>
          <w:b/>
          <w:color w:val="4B4B4D"/>
          <w:sz w:val="24"/>
        </w:rPr>
      </w:pPr>
    </w:p>
    <w:p w14:paraId="7BBF4185" w14:textId="77777777" w:rsidR="00F7610A" w:rsidRDefault="0072311F" w:rsidP="002D2719">
      <w:pPr>
        <w:jc w:val="center"/>
        <w:rPr>
          <w:b/>
          <w:color w:val="4B4B4D"/>
          <w:sz w:val="28"/>
        </w:rPr>
      </w:pPr>
      <w:r>
        <w:rPr>
          <w:b/>
          <w:color w:val="4B4B4D"/>
          <w:sz w:val="28"/>
        </w:rPr>
        <w:t>Innovation Maturity Model</w:t>
      </w:r>
      <w:r w:rsidR="00D21654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1654" w14:paraId="344D422B" w14:textId="77777777" w:rsidTr="00D21654">
        <w:tc>
          <w:tcPr>
            <w:tcW w:w="9016" w:type="dxa"/>
          </w:tcPr>
          <w:p w14:paraId="734189B8" w14:textId="6E9A6AD7" w:rsidR="00D21654" w:rsidRPr="00D21654" w:rsidRDefault="00D21654" w:rsidP="0072311F">
            <w:pPr>
              <w:jc w:val="both"/>
              <w:rPr>
                <w:b/>
                <w:color w:val="4B4B4D"/>
                <w:sz w:val="24"/>
              </w:rPr>
            </w:pPr>
            <w:r w:rsidRPr="00D21654">
              <w:rPr>
                <w:b/>
                <w:color w:val="4B4B4D"/>
                <w:sz w:val="24"/>
              </w:rPr>
              <w:t>1. Select an innovation maturity model appropriate to your organisation from the range of commercial options available. Complete the ma</w:t>
            </w:r>
            <w:r w:rsidR="00CC5F89">
              <w:rPr>
                <w:b/>
                <w:color w:val="4B4B4D"/>
                <w:sz w:val="24"/>
              </w:rPr>
              <w:t>turity assessment questionnaire, evaluating</w:t>
            </w:r>
            <w:r w:rsidRPr="00D21654">
              <w:rPr>
                <w:b/>
                <w:color w:val="4B4B4D"/>
                <w:sz w:val="24"/>
              </w:rPr>
              <w:t xml:space="preserve"> the maturity of </w:t>
            </w:r>
            <w:r w:rsidR="00CC5F89">
              <w:rPr>
                <w:b/>
                <w:color w:val="4B4B4D"/>
                <w:sz w:val="24"/>
              </w:rPr>
              <w:t>all innovation comp</w:t>
            </w:r>
            <w:r w:rsidR="000C4A95">
              <w:rPr>
                <w:b/>
                <w:color w:val="4B4B4D"/>
                <w:sz w:val="24"/>
              </w:rPr>
              <w:t>on</w:t>
            </w:r>
            <w:r w:rsidR="00CC5F89">
              <w:rPr>
                <w:b/>
                <w:color w:val="4B4B4D"/>
                <w:sz w:val="24"/>
              </w:rPr>
              <w:t>ents</w:t>
            </w:r>
            <w:r w:rsidRPr="00D21654">
              <w:rPr>
                <w:b/>
                <w:color w:val="4B4B4D"/>
                <w:sz w:val="24"/>
              </w:rPr>
              <w:t>. Aggregate the scores achieved in the manner instructed to determine</w:t>
            </w:r>
            <w:r w:rsidR="008262D6">
              <w:rPr>
                <w:b/>
                <w:color w:val="4B4B4D"/>
                <w:sz w:val="24"/>
              </w:rPr>
              <w:t xml:space="preserve"> the</w:t>
            </w:r>
            <w:bookmarkStart w:id="0" w:name="_GoBack"/>
            <w:bookmarkEnd w:id="0"/>
            <w:r w:rsidRPr="00D21654">
              <w:rPr>
                <w:b/>
                <w:color w:val="4B4B4D"/>
                <w:sz w:val="24"/>
              </w:rPr>
              <w:t xml:space="preserve"> overall innovation maturity</w:t>
            </w:r>
            <w:r w:rsidR="000C4A95">
              <w:rPr>
                <w:b/>
                <w:color w:val="4B4B4D"/>
                <w:sz w:val="24"/>
              </w:rPr>
              <w:t xml:space="preserve"> level</w:t>
            </w:r>
            <w:r w:rsidRPr="00D21654">
              <w:rPr>
                <w:b/>
                <w:color w:val="4B4B4D"/>
                <w:sz w:val="24"/>
              </w:rPr>
              <w:t>.</w:t>
            </w:r>
          </w:p>
        </w:tc>
      </w:tr>
    </w:tbl>
    <w:p w14:paraId="12F03BDF" w14:textId="77777777" w:rsidR="002D2719" w:rsidRDefault="002D2719" w:rsidP="00D21654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1654" w14:paraId="15984285" w14:textId="77777777" w:rsidTr="00D21654">
        <w:tc>
          <w:tcPr>
            <w:tcW w:w="9016" w:type="dxa"/>
          </w:tcPr>
          <w:p w14:paraId="2535A218" w14:textId="77777777" w:rsidR="00D21654" w:rsidRPr="00D21654" w:rsidRDefault="00D21654" w:rsidP="00D21654">
            <w:pPr>
              <w:spacing w:line="259" w:lineRule="auto"/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2. Examine the results of the maturity assessment to identify areas of strength and weakness.</w:t>
            </w:r>
          </w:p>
        </w:tc>
      </w:tr>
    </w:tbl>
    <w:p w14:paraId="0D3CACF4" w14:textId="77777777" w:rsidR="00D21654" w:rsidRDefault="00D21654" w:rsidP="00D21654">
      <w:pPr>
        <w:rPr>
          <w:b/>
          <w:color w:val="97BF0D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1654" w14:paraId="51E17739" w14:textId="77777777" w:rsidTr="00D21654">
        <w:tc>
          <w:tcPr>
            <w:tcW w:w="9016" w:type="dxa"/>
          </w:tcPr>
          <w:p w14:paraId="6BC3CECD" w14:textId="77777777" w:rsidR="00D21654" w:rsidRDefault="00D21654" w:rsidP="00D21654">
            <w:pPr>
              <w:rPr>
                <w:b/>
                <w:color w:val="97BF0D"/>
                <w:sz w:val="28"/>
              </w:rPr>
            </w:pPr>
            <w:r>
              <w:rPr>
                <w:b/>
                <w:color w:val="4B4B4D"/>
                <w:sz w:val="24"/>
              </w:rPr>
              <w:t xml:space="preserve">3. </w:t>
            </w:r>
            <w:r w:rsidR="00CC5F89">
              <w:rPr>
                <w:b/>
                <w:color w:val="4B4B4D"/>
                <w:sz w:val="24"/>
              </w:rPr>
              <w:t>Address the identified areas of weakness through targeted improvement initiatives with the objective of improving innovation maturity.</w:t>
            </w:r>
          </w:p>
        </w:tc>
      </w:tr>
    </w:tbl>
    <w:p w14:paraId="51A79D26" w14:textId="77777777" w:rsidR="000F62DD" w:rsidRDefault="000F62DD">
      <w:pPr>
        <w:rPr>
          <w:color w:val="919395"/>
        </w:rPr>
      </w:pPr>
    </w:p>
    <w:sectPr w:rsidR="000F62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DA6E" w14:textId="77777777"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14:paraId="172661D0" w14:textId="77777777"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F830" w14:textId="77777777"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51C9B" w14:textId="77777777"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14:paraId="67F757F9" w14:textId="77777777"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F14C" w14:textId="77777777"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B43D1"/>
    <w:rsid w:val="000C4A95"/>
    <w:rsid w:val="000D4420"/>
    <w:rsid w:val="000F62DD"/>
    <w:rsid w:val="001F63A4"/>
    <w:rsid w:val="0020197C"/>
    <w:rsid w:val="002D2719"/>
    <w:rsid w:val="00363891"/>
    <w:rsid w:val="003A71D0"/>
    <w:rsid w:val="004256FF"/>
    <w:rsid w:val="00436FAB"/>
    <w:rsid w:val="004F5E93"/>
    <w:rsid w:val="00577DD2"/>
    <w:rsid w:val="0067317C"/>
    <w:rsid w:val="0072311F"/>
    <w:rsid w:val="007C07D4"/>
    <w:rsid w:val="007C1530"/>
    <w:rsid w:val="008262D6"/>
    <w:rsid w:val="00871734"/>
    <w:rsid w:val="00953453"/>
    <w:rsid w:val="0097243B"/>
    <w:rsid w:val="00A61810"/>
    <w:rsid w:val="00B56E92"/>
    <w:rsid w:val="00BA4AD1"/>
    <w:rsid w:val="00BB55AF"/>
    <w:rsid w:val="00BF769B"/>
    <w:rsid w:val="00BF7846"/>
    <w:rsid w:val="00CC5F89"/>
    <w:rsid w:val="00D00068"/>
    <w:rsid w:val="00D21654"/>
    <w:rsid w:val="00DA18CC"/>
    <w:rsid w:val="00DE42D7"/>
    <w:rsid w:val="00DF14D0"/>
    <w:rsid w:val="00DF7DDA"/>
    <w:rsid w:val="00E14FAD"/>
    <w:rsid w:val="00E76808"/>
    <w:rsid w:val="00E92F67"/>
    <w:rsid w:val="00F26623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E15EB0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D2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3" ma:contentTypeDescription="Create a new document." ma:contentTypeScope="" ma:versionID="89de1ba1f5942f095c7084e4681ce3d5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7b332925379790179dfd9cba223934cc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E3C0B-FC91-46DC-9D7A-DD8D7E8B3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66D4D-48DE-4C6D-BC03-A10DD5A7EC74}"/>
</file>

<file path=customXml/itemProps3.xml><?xml version="1.0" encoding="utf-8"?>
<ds:datastoreItem xmlns:ds="http://schemas.openxmlformats.org/officeDocument/2006/customXml" ds:itemID="{636ED252-68AD-429B-8C2C-AF52D95EF845}"/>
</file>

<file path=customXml/itemProps4.xml><?xml version="1.0" encoding="utf-8"?>
<ds:datastoreItem xmlns:ds="http://schemas.openxmlformats.org/officeDocument/2006/customXml" ds:itemID="{0117B844-3DA7-4F21-8A46-ACC73E7E2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4</cp:revision>
  <cp:lastPrinted>2017-03-22T16:00:00Z</cp:lastPrinted>
  <dcterms:created xsi:type="dcterms:W3CDTF">2017-06-26T09:11:00Z</dcterms:created>
  <dcterms:modified xsi:type="dcterms:W3CDTF">2017-06-27T11:12:00Z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