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42475E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Sales</w:t>
      </w:r>
      <w:r w:rsidR="00822BD8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22BD8" w:rsidTr="00822BD8">
        <w:tc>
          <w:tcPr>
            <w:tcW w:w="9016" w:type="dxa"/>
            <w:gridSpan w:val="2"/>
          </w:tcPr>
          <w:p w:rsidR="00822BD8" w:rsidRPr="00822BD8" w:rsidRDefault="00822BD8" w:rsidP="00F7610A">
            <w:pPr>
              <w:rPr>
                <w:b/>
                <w:color w:val="4B4B4D"/>
                <w:sz w:val="24"/>
              </w:rPr>
            </w:pPr>
            <w:r w:rsidRPr="00822BD8">
              <w:rPr>
                <w:b/>
                <w:color w:val="4B4B4D"/>
                <w:sz w:val="24"/>
              </w:rPr>
              <w:t>1. Map out the sales cycle for a product or service by populating the cells below with activities corresponding to each stage.</w:t>
            </w:r>
          </w:p>
        </w:tc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Receive inquiry</w:t>
            </w:r>
          </w:p>
        </w:tc>
        <w:sdt>
          <w:sdtPr>
            <w:rPr>
              <w:color w:val="4B4B4D"/>
              <w:sz w:val="24"/>
            </w:rPr>
            <w:id w:val="8539185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Qualify details</w:t>
            </w:r>
          </w:p>
        </w:tc>
        <w:sdt>
          <w:sdtPr>
            <w:rPr>
              <w:color w:val="4B4B4D"/>
              <w:sz w:val="24"/>
            </w:rPr>
            <w:id w:val="-13100885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Arrange appointment</w:t>
            </w:r>
          </w:p>
        </w:tc>
        <w:sdt>
          <w:sdtPr>
            <w:rPr>
              <w:color w:val="4B4B4D"/>
              <w:sz w:val="24"/>
            </w:rPr>
            <w:id w:val="1269346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Customer appointment</w:t>
            </w:r>
          </w:p>
        </w:tc>
        <w:sdt>
          <w:sdtPr>
            <w:rPr>
              <w:color w:val="4B4B4D"/>
              <w:sz w:val="24"/>
            </w:rPr>
            <w:id w:val="-21088733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Understand customer needs</w:t>
            </w:r>
          </w:p>
        </w:tc>
        <w:sdt>
          <w:sdtPr>
            <w:rPr>
              <w:color w:val="4B4B4D"/>
              <w:sz w:val="24"/>
            </w:rPr>
            <w:id w:val="-8036193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Evaluate potential solutions</w:t>
            </w:r>
          </w:p>
        </w:tc>
        <w:sdt>
          <w:sdtPr>
            <w:rPr>
              <w:color w:val="4B4B4D"/>
              <w:sz w:val="24"/>
            </w:rPr>
            <w:id w:val="-20179238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BD8" w:rsidTr="00822BD8">
        <w:tc>
          <w:tcPr>
            <w:tcW w:w="3964" w:type="dxa"/>
          </w:tcPr>
          <w:p w:rsidR="00822BD8" w:rsidRDefault="00822BD8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Present solutions and finalise the sale</w:t>
            </w:r>
          </w:p>
        </w:tc>
        <w:sdt>
          <w:sdtPr>
            <w:rPr>
              <w:color w:val="4B4B4D"/>
              <w:sz w:val="24"/>
            </w:rPr>
            <w:id w:val="5491937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52" w:type="dxa"/>
              </w:tcPr>
              <w:p w:rsidR="00822BD8" w:rsidRDefault="00822BD8" w:rsidP="00F7610A">
                <w:pPr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2BD8" w:rsidTr="00822BD8">
        <w:tc>
          <w:tcPr>
            <w:tcW w:w="9016" w:type="dxa"/>
          </w:tcPr>
          <w:p w:rsidR="00822BD8" w:rsidRDefault="00822BD8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 xml:space="preserve">2. Examine the type of selling activity in which </w:t>
            </w:r>
            <w:r w:rsidR="00AE5278">
              <w:rPr>
                <w:b/>
                <w:color w:val="4B4B4D"/>
                <w:sz w:val="24"/>
              </w:rPr>
              <w:t>your</w:t>
            </w:r>
            <w:r>
              <w:rPr>
                <w:b/>
                <w:color w:val="4B4B4D"/>
                <w:sz w:val="24"/>
              </w:rPr>
              <w:t xml:space="preserve"> organisation engages and consider whether changes might be beneficial. For instance, what would the effect be of selling directly to consumers or to other businesses?</w:t>
            </w:r>
          </w:p>
        </w:tc>
      </w:tr>
      <w:tr w:rsidR="00822BD8" w:rsidTr="00822BD8">
        <w:sdt>
          <w:sdtPr>
            <w:rPr>
              <w:color w:val="4B4B4D"/>
              <w:sz w:val="24"/>
            </w:rPr>
            <w:id w:val="18541480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822BD8" w:rsidRPr="00822BD8" w:rsidRDefault="00822BD8" w:rsidP="00A61810">
                <w:pPr>
                  <w:jc w:val="both"/>
                  <w:rPr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22BD8" w:rsidRDefault="00822BD8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2BD8" w:rsidTr="00822BD8">
        <w:tc>
          <w:tcPr>
            <w:tcW w:w="9016" w:type="dxa"/>
          </w:tcPr>
          <w:p w:rsidR="00822BD8" w:rsidRDefault="00822BD8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3. Examine the sales cycle and methods that underpin the sales process.</w:t>
            </w:r>
          </w:p>
        </w:tc>
      </w:tr>
      <w:tr w:rsidR="00822BD8" w:rsidTr="00822BD8">
        <w:sdt>
          <w:sdtPr>
            <w:rPr>
              <w:b/>
              <w:color w:val="4B4B4D"/>
              <w:sz w:val="24"/>
            </w:rPr>
            <w:id w:val="-12525804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822BD8" w:rsidRDefault="00822BD8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22BD8" w:rsidRDefault="00822BD8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2BD8" w:rsidTr="00822BD8">
        <w:tc>
          <w:tcPr>
            <w:tcW w:w="9016" w:type="dxa"/>
          </w:tcPr>
          <w:p w:rsidR="00822BD8" w:rsidRDefault="00822BD8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 xml:space="preserve">4. Examine the offering and consider its degree of complexity, whether it is a commodity, or </w:t>
            </w:r>
            <w:r w:rsidR="00AE5278">
              <w:rPr>
                <w:b/>
                <w:color w:val="4B4B4D"/>
                <w:sz w:val="24"/>
              </w:rPr>
              <w:t>if</w:t>
            </w:r>
            <w:r>
              <w:rPr>
                <w:b/>
                <w:color w:val="4B4B4D"/>
                <w:sz w:val="24"/>
              </w:rPr>
              <w:t xml:space="preserve"> it</w:t>
            </w:r>
            <w:r w:rsidR="00AE5278">
              <w:rPr>
                <w:b/>
                <w:color w:val="4B4B4D"/>
                <w:sz w:val="24"/>
              </w:rPr>
              <w:t xml:space="preserve"> can</w:t>
            </w:r>
            <w:r>
              <w:rPr>
                <w:b/>
                <w:color w:val="4B4B4D"/>
                <w:sz w:val="24"/>
              </w:rPr>
              <w:t xml:space="preserve"> be sold as a subscripti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>on.</w:t>
            </w:r>
          </w:p>
        </w:tc>
      </w:tr>
      <w:tr w:rsidR="00AE5278" w:rsidTr="00822BD8">
        <w:sdt>
          <w:sdtPr>
            <w:rPr>
              <w:b/>
              <w:color w:val="4B4B4D"/>
              <w:sz w:val="24"/>
            </w:rPr>
            <w:id w:val="-311851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AE5278" w:rsidRDefault="00AE5278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22BD8" w:rsidRDefault="00822BD8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2BD8" w:rsidTr="00822BD8">
        <w:tc>
          <w:tcPr>
            <w:tcW w:w="9016" w:type="dxa"/>
          </w:tcPr>
          <w:p w:rsidR="00822BD8" w:rsidRDefault="00822BD8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 xml:space="preserve">5. Evaluate whether social media </w:t>
            </w:r>
            <w:r w:rsidR="00D76294">
              <w:rPr>
                <w:b/>
                <w:color w:val="4B4B4D"/>
                <w:sz w:val="24"/>
              </w:rPr>
              <w:t>is</w:t>
            </w:r>
            <w:r w:rsidR="00F338D3">
              <w:rPr>
                <w:b/>
                <w:color w:val="4B4B4D"/>
                <w:sz w:val="24"/>
              </w:rPr>
              <w:t>,</w:t>
            </w:r>
            <w:r w:rsidR="00D76294">
              <w:rPr>
                <w:b/>
                <w:color w:val="4B4B4D"/>
                <w:sz w:val="24"/>
              </w:rPr>
              <w:t xml:space="preserve"> or </w:t>
            </w:r>
            <w:r>
              <w:rPr>
                <w:b/>
                <w:color w:val="4B4B4D"/>
                <w:sz w:val="24"/>
              </w:rPr>
              <w:t>can be used</w:t>
            </w:r>
            <w:r w:rsidR="00F338D3">
              <w:rPr>
                <w:b/>
                <w:color w:val="4B4B4D"/>
                <w:sz w:val="24"/>
              </w:rPr>
              <w:t>,</w:t>
            </w:r>
            <w:r>
              <w:rPr>
                <w:b/>
                <w:color w:val="4B4B4D"/>
                <w:sz w:val="24"/>
              </w:rPr>
              <w:t xml:space="preserve"> to effectively commun</w:t>
            </w:r>
            <w:r w:rsidR="00D76294">
              <w:rPr>
                <w:b/>
                <w:color w:val="4B4B4D"/>
                <w:sz w:val="24"/>
              </w:rPr>
              <w:t>icate with clients and support the sales process.</w:t>
            </w:r>
          </w:p>
        </w:tc>
      </w:tr>
    </w:tbl>
    <w:p w:rsidR="00822BD8" w:rsidRDefault="00822BD8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7DED" w:rsidTr="00677DED">
        <w:tc>
          <w:tcPr>
            <w:tcW w:w="9016" w:type="dxa"/>
          </w:tcPr>
          <w:p w:rsidR="00677DED" w:rsidRDefault="00677DED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 xml:space="preserve">6. </w:t>
            </w:r>
            <w:proofErr w:type="gramStart"/>
            <w:r>
              <w:rPr>
                <w:b/>
                <w:color w:val="4B4B4D"/>
                <w:sz w:val="24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</w:rPr>
              <w:t xml:space="preserve"> your judgements in previous steps, determine actions to optimise the sales process or support activities.</w:t>
            </w:r>
          </w:p>
        </w:tc>
      </w:tr>
      <w:tr w:rsidR="00677DED" w:rsidTr="00677DED">
        <w:sdt>
          <w:sdtPr>
            <w:rPr>
              <w:b/>
              <w:color w:val="4B4B4D"/>
              <w:sz w:val="24"/>
            </w:rPr>
            <w:id w:val="20419313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677DED" w:rsidRDefault="00677DED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D2719"/>
    <w:rsid w:val="00363891"/>
    <w:rsid w:val="0042475E"/>
    <w:rsid w:val="004256FF"/>
    <w:rsid w:val="00436FAB"/>
    <w:rsid w:val="00471397"/>
    <w:rsid w:val="00474151"/>
    <w:rsid w:val="004F5E93"/>
    <w:rsid w:val="00577DD2"/>
    <w:rsid w:val="0067317C"/>
    <w:rsid w:val="00677DED"/>
    <w:rsid w:val="006A55A8"/>
    <w:rsid w:val="007C1530"/>
    <w:rsid w:val="00822BD8"/>
    <w:rsid w:val="00871734"/>
    <w:rsid w:val="009277DC"/>
    <w:rsid w:val="0097243B"/>
    <w:rsid w:val="00A61810"/>
    <w:rsid w:val="00AE5278"/>
    <w:rsid w:val="00B56E92"/>
    <w:rsid w:val="00BA4AD1"/>
    <w:rsid w:val="00BB55AF"/>
    <w:rsid w:val="00BF769B"/>
    <w:rsid w:val="00BF7846"/>
    <w:rsid w:val="00C750C4"/>
    <w:rsid w:val="00D00068"/>
    <w:rsid w:val="00D0161E"/>
    <w:rsid w:val="00D76294"/>
    <w:rsid w:val="00DA18CC"/>
    <w:rsid w:val="00DF14D0"/>
    <w:rsid w:val="00E76808"/>
    <w:rsid w:val="00E92F67"/>
    <w:rsid w:val="00F26623"/>
    <w:rsid w:val="00F338D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54C5D2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8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570E-5D6A-4E0B-838E-D1391A237023}"/>
      </w:docPartPr>
      <w:docPartBody>
        <w:p w:rsidR="00000000" w:rsidRDefault="00D1488F">
          <w:r w:rsidRPr="008929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8F"/>
    <w:rsid w:val="00D1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8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DC19D-1355-444C-B2D9-CCF5FB8EE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29515-D344-4825-B854-4DBFBDA913E2}"/>
</file>

<file path=customXml/itemProps3.xml><?xml version="1.0" encoding="utf-8"?>
<ds:datastoreItem xmlns:ds="http://schemas.openxmlformats.org/officeDocument/2006/customXml" ds:itemID="{71937071-FB0B-487A-A41A-0710A48A641E}"/>
</file>

<file path=customXml/itemProps4.xml><?xml version="1.0" encoding="utf-8"?>
<ds:datastoreItem xmlns:ds="http://schemas.openxmlformats.org/officeDocument/2006/customXml" ds:itemID="{6E4148C4-2A16-4663-8BFA-5A9C73806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2017-07-05T11:35:00Z</dcterms:created>
  <dcterms:modified xsi:type="dcterms:W3CDTF">2017-07-05T11:38:00Z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