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BA6" w:rsidRDefault="008847E6" w:rsidP="00560BA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274320</wp:posOffset>
            </wp:positionV>
            <wp:extent cx="2857500" cy="857250"/>
            <wp:effectExtent l="0" t="0" r="0" b="0"/>
            <wp:wrapThrough wrapText="bothSides">
              <wp:wrapPolygon edited="0">
                <wp:start x="1008" y="0"/>
                <wp:lineTo x="0" y="1440"/>
                <wp:lineTo x="0" y="21120"/>
                <wp:lineTo x="21456" y="21120"/>
                <wp:lineTo x="21456" y="5280"/>
                <wp:lineTo x="3312" y="0"/>
                <wp:lineTo x="100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KON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5F72934B" wp14:editId="49899B62">
            <wp:extent cx="13144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BA6">
        <w:rPr>
          <w:b/>
        </w:rPr>
        <w:tab/>
      </w:r>
    </w:p>
    <w:p w:rsidR="008847E6" w:rsidRDefault="008847E6" w:rsidP="008847E6">
      <w:pPr>
        <w:rPr>
          <w:b/>
        </w:rPr>
      </w:pPr>
    </w:p>
    <w:p w:rsidR="00560BA6" w:rsidRPr="00560BA6" w:rsidRDefault="00560BA6" w:rsidP="008847E6">
      <w:pPr>
        <w:jc w:val="center"/>
        <w:rPr>
          <w:b/>
        </w:rPr>
      </w:pPr>
      <w:r w:rsidRPr="00560BA6">
        <w:rPr>
          <w:b/>
        </w:rPr>
        <w:t>1H5W</w:t>
      </w:r>
    </w:p>
    <w:p w:rsidR="00560BA6" w:rsidRDefault="00560BA6" w:rsidP="008847E6">
      <w:pPr>
        <w:jc w:val="both"/>
      </w:pPr>
      <w:r>
        <w:t>This is a questioning technique that focuses on answering the questions ‘what?’, ‘who?’.</w:t>
      </w:r>
    </w:p>
    <w:p w:rsidR="00560BA6" w:rsidRDefault="00560BA6" w:rsidP="008847E6">
      <w:pPr>
        <w:jc w:val="both"/>
      </w:pPr>
      <w:r>
        <w:t>‘where?’, ‘when?’, ‘why?’, and ‘how?’. By directing attention to these queries, the method</w:t>
      </w:r>
    </w:p>
    <w:p w:rsidR="00560BA6" w:rsidRDefault="00560BA6" w:rsidP="008847E6">
      <w:pPr>
        <w:jc w:val="both"/>
      </w:pPr>
      <w:r>
        <w:t>enables the identification of issues or problems and supports the discovery of solutions. The</w:t>
      </w:r>
    </w:p>
    <w:p w:rsidR="00560BA6" w:rsidRDefault="00560BA6" w:rsidP="008847E6">
      <w:pPr>
        <w:jc w:val="both"/>
      </w:pPr>
      <w:r>
        <w:t>centrality of questions provides a comprehensive approach for understanding areas of</w:t>
      </w:r>
    </w:p>
    <w:p w:rsidR="00560BA6" w:rsidRDefault="00560BA6" w:rsidP="008847E6">
      <w:pPr>
        <w:jc w:val="both"/>
      </w:pPr>
      <w:r>
        <w:t>difficulty and it is frequently used in circumstances where elaboration of the domain is</w:t>
      </w:r>
    </w:p>
    <w:p w:rsidR="00262C29" w:rsidRDefault="00560BA6" w:rsidP="008847E6">
      <w:pPr>
        <w:jc w:val="both"/>
      </w:pPr>
      <w:r>
        <w:t>required.</w:t>
      </w:r>
    </w:p>
    <w:p w:rsidR="008847E6" w:rsidRDefault="008847E6" w:rsidP="008847E6">
      <w:pPr>
        <w:jc w:val="both"/>
      </w:pPr>
    </w:p>
    <w:p w:rsidR="008847E6" w:rsidRPr="008847E6" w:rsidRDefault="008847E6" w:rsidP="008847E6">
      <w:pPr>
        <w:jc w:val="center"/>
        <w:rPr>
          <w:b/>
          <w:color w:val="538135" w:themeColor="accent6" w:themeShade="BF"/>
        </w:rPr>
      </w:pPr>
      <w:r w:rsidRPr="008847E6">
        <w:rPr>
          <w:b/>
          <w:color w:val="538135" w:themeColor="accent6" w:themeShade="BF"/>
        </w:rPr>
        <w:t>Using 1H5W</w:t>
      </w:r>
    </w:p>
    <w:p w:rsidR="008847E6" w:rsidRPr="008847E6" w:rsidRDefault="008847E6" w:rsidP="008847E6">
      <w:pPr>
        <w:jc w:val="both"/>
        <w:rPr>
          <w:color w:val="538135" w:themeColor="accent6" w:themeShade="BF"/>
        </w:rPr>
      </w:pPr>
      <w:r w:rsidRPr="008847E6">
        <w:rPr>
          <w:color w:val="538135" w:themeColor="accent6" w:themeShade="BF"/>
        </w:rPr>
        <w:t>This technique can be performed in a variety of ways, using office software or with a pen</w:t>
      </w:r>
    </w:p>
    <w:p w:rsidR="008847E6" w:rsidRPr="008847E6" w:rsidRDefault="008847E6" w:rsidP="008847E6">
      <w:pPr>
        <w:jc w:val="both"/>
        <w:rPr>
          <w:color w:val="538135" w:themeColor="accent6" w:themeShade="BF"/>
        </w:rPr>
      </w:pPr>
      <w:r w:rsidRPr="008847E6">
        <w:rPr>
          <w:color w:val="538135" w:themeColor="accent6" w:themeShade="BF"/>
        </w:rPr>
        <w:t>and paper. The questions that constitute this approach are asked regarding the focus area</w:t>
      </w:r>
    </w:p>
    <w:p w:rsidR="008847E6" w:rsidRPr="008847E6" w:rsidRDefault="008847E6" w:rsidP="008847E6">
      <w:pPr>
        <w:jc w:val="both"/>
        <w:rPr>
          <w:color w:val="538135" w:themeColor="accent6" w:themeShade="BF"/>
        </w:rPr>
      </w:pPr>
      <w:r w:rsidRPr="008847E6">
        <w:rPr>
          <w:color w:val="538135" w:themeColor="accent6" w:themeShade="BF"/>
        </w:rPr>
        <w:t>and the insights provided from their resolution provide the basis for solutions.</w:t>
      </w:r>
    </w:p>
    <w:sectPr w:rsidR="008847E6" w:rsidRPr="00884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A6"/>
    <w:rsid w:val="00262C29"/>
    <w:rsid w:val="00560BA6"/>
    <w:rsid w:val="008847E6"/>
    <w:rsid w:val="00EB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EF0E0-7BEA-458A-B5A3-DC029D5A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615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McCall</dc:creator>
  <cp:keywords/>
  <dc:description/>
  <cp:lastModifiedBy>Rory McCall</cp:lastModifiedBy>
  <cp:revision>2</cp:revision>
  <dcterms:created xsi:type="dcterms:W3CDTF">2023-08-02T15:49:00Z</dcterms:created>
  <dcterms:modified xsi:type="dcterms:W3CDTF">2023-08-02T15:49:00Z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e5411f2e-44f5-403b-b643-b1e8592d6dc3</vt:lpwstr>
  </property>
</Properties>
</file>